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EF81" w14:textId="77777777" w:rsidR="00C43AAE" w:rsidRPr="00C43AAE" w:rsidRDefault="00C43AAE" w:rsidP="00C43AAE">
      <w:pPr>
        <w:pStyle w:val="Heading1"/>
        <w:spacing w:before="0"/>
        <w:jc w:val="center"/>
        <w:rPr>
          <w:rFonts w:ascii="Times New Roman" w:hAnsi="Times New Roman" w:cs="Times New Roman"/>
          <w:b/>
          <w:bCs/>
          <w:sz w:val="24"/>
          <w:szCs w:val="24"/>
        </w:rPr>
      </w:pPr>
      <w:r w:rsidRPr="00C43AAE">
        <w:rPr>
          <w:rFonts w:ascii="Times New Roman" w:hAnsi="Times New Roman" w:cs="Times New Roman"/>
          <w:b/>
          <w:bCs/>
          <w:w w:val="105"/>
          <w:sz w:val="24"/>
          <w:szCs w:val="24"/>
        </w:rPr>
        <w:t>REQUEST FOR PROPOSALS</w:t>
      </w:r>
    </w:p>
    <w:p w14:paraId="2C254840" w14:textId="77777777" w:rsidR="00C43AAE" w:rsidRPr="00C43AAE" w:rsidRDefault="00C43AAE" w:rsidP="00C43AAE">
      <w:pPr>
        <w:jc w:val="center"/>
        <w:rPr>
          <w:b/>
          <w:sz w:val="24"/>
          <w:szCs w:val="24"/>
        </w:rPr>
      </w:pPr>
      <w:r w:rsidRPr="00C43AAE">
        <w:rPr>
          <w:b/>
          <w:w w:val="105"/>
          <w:sz w:val="24"/>
          <w:szCs w:val="24"/>
        </w:rPr>
        <w:t>Professional Appraisal and Review Appraisal Services</w:t>
      </w:r>
    </w:p>
    <w:p w14:paraId="2D51884E" w14:textId="77777777" w:rsidR="00C43AAE" w:rsidRPr="00E977F5" w:rsidRDefault="00C43AAE" w:rsidP="00C43AAE">
      <w:pPr>
        <w:pStyle w:val="BodyText"/>
        <w:spacing w:before="1"/>
        <w:rPr>
          <w:b/>
          <w:sz w:val="22"/>
          <w:szCs w:val="22"/>
        </w:rPr>
      </w:pPr>
    </w:p>
    <w:p w14:paraId="2BE6F5FF" w14:textId="0E7207F2" w:rsidR="00C43AAE" w:rsidRDefault="00C43AAE" w:rsidP="00C43AAE">
      <w:pPr>
        <w:pStyle w:val="BodyText"/>
        <w:spacing w:line="256" w:lineRule="auto"/>
        <w:ind w:left="134" w:right="68" w:firstLine="14"/>
        <w:jc w:val="both"/>
        <w:rPr>
          <w:rFonts w:ascii="Georgia" w:hAnsi="Georgia"/>
          <w:color w:val="333333"/>
          <w:shd w:val="clear" w:color="auto" w:fill="F1F1F1"/>
        </w:rPr>
      </w:pPr>
      <w:r w:rsidRPr="00E977F5">
        <w:rPr>
          <w:sz w:val="22"/>
          <w:szCs w:val="22"/>
        </w:rPr>
        <w:t xml:space="preserve">The </w:t>
      </w:r>
      <w:r w:rsidRPr="00E977F5">
        <w:rPr>
          <w:b/>
          <w:sz w:val="22"/>
          <w:szCs w:val="22"/>
        </w:rPr>
        <w:t xml:space="preserve">CITY OF </w:t>
      </w:r>
      <w:r>
        <w:rPr>
          <w:b/>
          <w:sz w:val="22"/>
          <w:szCs w:val="22"/>
        </w:rPr>
        <w:t>COTTONDALE</w:t>
      </w:r>
      <w:r w:rsidRPr="00E977F5">
        <w:rPr>
          <w:b/>
          <w:sz w:val="22"/>
          <w:szCs w:val="22"/>
        </w:rPr>
        <w:t xml:space="preserve">, FLORIDA </w:t>
      </w:r>
      <w:r w:rsidRPr="00E977F5">
        <w:rPr>
          <w:sz w:val="22"/>
          <w:szCs w:val="22"/>
        </w:rPr>
        <w:t xml:space="preserve">anticipates the acquisition of </w:t>
      </w:r>
      <w:r>
        <w:rPr>
          <w:sz w:val="22"/>
          <w:szCs w:val="22"/>
        </w:rPr>
        <w:t>a</w:t>
      </w:r>
      <w:r w:rsidRPr="00E977F5">
        <w:rPr>
          <w:sz w:val="22"/>
          <w:szCs w:val="22"/>
        </w:rPr>
        <w:t xml:space="preserve"> parcel of </w:t>
      </w:r>
      <w:r>
        <w:rPr>
          <w:sz w:val="22"/>
          <w:szCs w:val="22"/>
        </w:rPr>
        <w:t xml:space="preserve">undeveloped </w:t>
      </w:r>
      <w:r w:rsidRPr="00E977F5">
        <w:rPr>
          <w:sz w:val="22"/>
          <w:szCs w:val="22"/>
        </w:rPr>
        <w:t>property</w:t>
      </w:r>
      <w:r>
        <w:rPr>
          <w:sz w:val="22"/>
          <w:szCs w:val="22"/>
        </w:rPr>
        <w:t>. The property</w:t>
      </w:r>
      <w:r w:rsidRPr="00E977F5">
        <w:rPr>
          <w:sz w:val="22"/>
          <w:szCs w:val="22"/>
        </w:rPr>
        <w:t xml:space="preserve"> </w:t>
      </w:r>
      <w:r>
        <w:rPr>
          <w:sz w:val="22"/>
          <w:szCs w:val="22"/>
        </w:rPr>
        <w:t xml:space="preserve">will be utilized to construct additional </w:t>
      </w:r>
      <w:r w:rsidR="0087768C">
        <w:rPr>
          <w:sz w:val="22"/>
          <w:szCs w:val="22"/>
        </w:rPr>
        <w:t>off-street</w:t>
      </w:r>
      <w:r>
        <w:rPr>
          <w:sz w:val="22"/>
          <w:szCs w:val="22"/>
        </w:rPr>
        <w:t xml:space="preserve"> parking for the City of Cottondale Community Center. </w:t>
      </w:r>
      <w:r w:rsidRPr="00E977F5">
        <w:rPr>
          <w:w w:val="105"/>
          <w:sz w:val="22"/>
          <w:szCs w:val="22"/>
        </w:rPr>
        <w:t xml:space="preserve">The City of </w:t>
      </w:r>
      <w:r>
        <w:rPr>
          <w:w w:val="105"/>
          <w:sz w:val="22"/>
          <w:szCs w:val="22"/>
        </w:rPr>
        <w:t>Cottondale</w:t>
      </w:r>
      <w:r w:rsidRPr="00E977F5">
        <w:rPr>
          <w:w w:val="105"/>
          <w:sz w:val="22"/>
          <w:szCs w:val="22"/>
        </w:rPr>
        <w:t xml:space="preserve">, Florida is requesting proposals for appraisal </w:t>
      </w:r>
      <w:r w:rsidRPr="00E977F5">
        <w:rPr>
          <w:spacing w:val="-3"/>
          <w:w w:val="105"/>
          <w:sz w:val="22"/>
          <w:szCs w:val="22"/>
        </w:rPr>
        <w:t xml:space="preserve">and </w:t>
      </w:r>
      <w:r w:rsidRPr="00E977F5">
        <w:rPr>
          <w:w w:val="105"/>
          <w:sz w:val="22"/>
          <w:szCs w:val="22"/>
        </w:rPr>
        <w:t xml:space="preserve">review appraisal services in a </w:t>
      </w:r>
      <w:r w:rsidRPr="00E977F5">
        <w:rPr>
          <w:spacing w:val="-3"/>
          <w:w w:val="105"/>
          <w:sz w:val="22"/>
          <w:szCs w:val="22"/>
        </w:rPr>
        <w:t xml:space="preserve">project </w:t>
      </w:r>
      <w:r w:rsidRPr="00E977F5">
        <w:rPr>
          <w:w w:val="105"/>
          <w:sz w:val="22"/>
          <w:szCs w:val="22"/>
        </w:rPr>
        <w:t xml:space="preserve">funded by the City of </w:t>
      </w:r>
      <w:r>
        <w:rPr>
          <w:w w:val="105"/>
          <w:sz w:val="22"/>
          <w:szCs w:val="22"/>
        </w:rPr>
        <w:t>Cottondale’s</w:t>
      </w:r>
      <w:r w:rsidRPr="00E977F5">
        <w:rPr>
          <w:w w:val="105"/>
          <w:sz w:val="22"/>
          <w:szCs w:val="22"/>
        </w:rPr>
        <w:t xml:space="preserve">, Community Development Block Grant (CDBG) </w:t>
      </w:r>
      <w:r>
        <w:rPr>
          <w:w w:val="105"/>
          <w:sz w:val="22"/>
          <w:szCs w:val="22"/>
        </w:rPr>
        <w:t>Corona Virus</w:t>
      </w:r>
      <w:r w:rsidRPr="00E977F5">
        <w:rPr>
          <w:sz w:val="22"/>
          <w:szCs w:val="22"/>
        </w:rPr>
        <w:t xml:space="preserve"> (CDBG-</w:t>
      </w:r>
      <w:r>
        <w:rPr>
          <w:sz w:val="22"/>
          <w:szCs w:val="22"/>
        </w:rPr>
        <w:t>CV</w:t>
      </w:r>
      <w:r w:rsidRPr="00E977F5">
        <w:rPr>
          <w:sz w:val="22"/>
          <w:szCs w:val="22"/>
        </w:rPr>
        <w:t xml:space="preserve">) Grant </w:t>
      </w:r>
      <w:r w:rsidRPr="004A542F">
        <w:rPr>
          <w:w w:val="105"/>
          <w:sz w:val="22"/>
          <w:szCs w:val="22"/>
        </w:rPr>
        <w:t>(#</w:t>
      </w:r>
      <w:bookmarkStart w:id="0" w:name="_Hlk129963832"/>
      <w:r w:rsidRPr="004A542F">
        <w:rPr>
          <w:sz w:val="22"/>
          <w:szCs w:val="22"/>
        </w:rPr>
        <w:t>22CV-S1</w:t>
      </w:r>
      <w:bookmarkEnd w:id="0"/>
      <w:r>
        <w:rPr>
          <w:sz w:val="22"/>
          <w:szCs w:val="22"/>
        </w:rPr>
        <w:t>5</w:t>
      </w:r>
      <w:r w:rsidRPr="004A542F">
        <w:rPr>
          <w:sz w:val="22"/>
          <w:szCs w:val="22"/>
        </w:rPr>
        <w:t>),</w:t>
      </w:r>
      <w:r>
        <w:rPr>
          <w:sz w:val="22"/>
          <w:szCs w:val="22"/>
        </w:rPr>
        <w:t xml:space="preserve"> funded </w:t>
      </w:r>
      <w:r w:rsidRPr="00E977F5">
        <w:rPr>
          <w:sz w:val="22"/>
          <w:szCs w:val="22"/>
        </w:rPr>
        <w:t xml:space="preserve">through the Florida </w:t>
      </w:r>
      <w:r>
        <w:rPr>
          <w:sz w:val="22"/>
          <w:szCs w:val="22"/>
        </w:rPr>
        <w:t xml:space="preserve">Commerce </w:t>
      </w:r>
      <w:r w:rsidRPr="00E977F5">
        <w:rPr>
          <w:sz w:val="22"/>
          <w:szCs w:val="22"/>
        </w:rPr>
        <w:t>Department</w:t>
      </w:r>
      <w:r w:rsidRPr="00E977F5">
        <w:rPr>
          <w:w w:val="105"/>
          <w:sz w:val="22"/>
          <w:szCs w:val="22"/>
        </w:rPr>
        <w:t xml:space="preserve">. The </w:t>
      </w:r>
      <w:r w:rsidRPr="00E977F5">
        <w:rPr>
          <w:spacing w:val="-3"/>
          <w:w w:val="105"/>
          <w:sz w:val="22"/>
          <w:szCs w:val="22"/>
        </w:rPr>
        <w:t xml:space="preserve">project </w:t>
      </w:r>
      <w:r w:rsidRPr="00E977F5">
        <w:rPr>
          <w:w w:val="105"/>
          <w:sz w:val="22"/>
          <w:szCs w:val="22"/>
        </w:rPr>
        <w:t xml:space="preserve">will require an appraisal of </w:t>
      </w:r>
      <w:r>
        <w:rPr>
          <w:w w:val="105"/>
          <w:sz w:val="22"/>
          <w:szCs w:val="22"/>
        </w:rPr>
        <w:t>one</w:t>
      </w:r>
      <w:r w:rsidRPr="00E977F5">
        <w:rPr>
          <w:sz w:val="22"/>
          <w:szCs w:val="22"/>
        </w:rPr>
        <w:t xml:space="preserve"> </w:t>
      </w:r>
      <w:r w:rsidRPr="00E977F5">
        <w:rPr>
          <w:w w:val="105"/>
          <w:sz w:val="22"/>
          <w:szCs w:val="22"/>
        </w:rPr>
        <w:t xml:space="preserve">parcel of </w:t>
      </w:r>
      <w:r>
        <w:rPr>
          <w:w w:val="105"/>
          <w:sz w:val="22"/>
          <w:szCs w:val="22"/>
        </w:rPr>
        <w:t>undeveloped property</w:t>
      </w:r>
      <w:r w:rsidRPr="00E977F5">
        <w:rPr>
          <w:sz w:val="22"/>
          <w:szCs w:val="22"/>
        </w:rPr>
        <w:t xml:space="preserve">. All work shall be in conformance </w:t>
      </w:r>
      <w:r w:rsidRPr="004A542F">
        <w:rPr>
          <w:sz w:val="22"/>
          <w:szCs w:val="22"/>
        </w:rPr>
        <w:t>with</w:t>
      </w:r>
      <w:r>
        <w:rPr>
          <w:sz w:val="22"/>
          <w:szCs w:val="22"/>
        </w:rPr>
        <w:t xml:space="preserve"> </w:t>
      </w:r>
      <w:r w:rsidRPr="00E977F5">
        <w:rPr>
          <w:sz w:val="22"/>
          <w:szCs w:val="22"/>
        </w:rPr>
        <w:t>the requirements of the CDBG-</w:t>
      </w:r>
      <w:r>
        <w:rPr>
          <w:sz w:val="22"/>
          <w:szCs w:val="22"/>
        </w:rPr>
        <w:t>CV</w:t>
      </w:r>
      <w:r w:rsidRPr="00E977F5">
        <w:rPr>
          <w:sz w:val="22"/>
          <w:szCs w:val="22"/>
        </w:rPr>
        <w:t xml:space="preserve"> grant. Proposers must meet all </w:t>
      </w:r>
      <w:proofErr w:type="spellStart"/>
      <w:r w:rsidR="0087768C">
        <w:rPr>
          <w:sz w:val="22"/>
          <w:szCs w:val="22"/>
        </w:rPr>
        <w:t>FloridaCommerce</w:t>
      </w:r>
      <w:proofErr w:type="spellEnd"/>
      <w:r w:rsidR="0087768C">
        <w:rPr>
          <w:sz w:val="22"/>
          <w:szCs w:val="22"/>
        </w:rPr>
        <w:t xml:space="preserve"> </w:t>
      </w:r>
      <w:r w:rsidRPr="00E977F5">
        <w:rPr>
          <w:sz w:val="22"/>
          <w:szCs w:val="22"/>
        </w:rPr>
        <w:t>CDBG requirements.</w:t>
      </w:r>
      <w:r>
        <w:rPr>
          <w:sz w:val="22"/>
          <w:szCs w:val="22"/>
        </w:rPr>
        <w:t xml:space="preserve">  </w:t>
      </w:r>
      <w:r w:rsidRPr="00683919">
        <w:rPr>
          <w:sz w:val="22"/>
          <w:szCs w:val="22"/>
        </w:rPr>
        <w:t xml:space="preserve">Additionally, the proposed acquisition, accompanying appraisal and review appraisal must adhere to the requirements of the Uniform Relocation Assistance and Real Property Acquisition Policies Act of 1970, as amended and </w:t>
      </w:r>
      <w:r w:rsidRPr="00683919">
        <w:rPr>
          <w:color w:val="333333"/>
          <w:sz w:val="22"/>
          <w:szCs w:val="22"/>
          <w:shd w:val="clear" w:color="auto" w:fill="FFFFFF"/>
        </w:rPr>
        <w:t>(</w:t>
      </w:r>
      <w:hyperlink r:id="rId7" w:history="1">
        <w:r w:rsidRPr="00683919">
          <w:rPr>
            <w:color w:val="0068AC"/>
            <w:sz w:val="22"/>
            <w:szCs w:val="22"/>
            <w:u w:val="single"/>
            <w:shd w:val="clear" w:color="auto" w:fill="FFFFFF"/>
          </w:rPr>
          <w:t>42</w:t>
        </w:r>
      </w:hyperlink>
      <w:r w:rsidRPr="00683919">
        <w:rPr>
          <w:color w:val="333333"/>
          <w:sz w:val="22"/>
          <w:szCs w:val="22"/>
          <w:shd w:val="clear" w:color="auto" w:fill="FFFFFF"/>
        </w:rPr>
        <w:t> U.S.C. </w:t>
      </w:r>
      <w:hyperlink r:id="rId8" w:history="1">
        <w:r w:rsidRPr="00683919">
          <w:rPr>
            <w:color w:val="0068AC"/>
            <w:sz w:val="22"/>
            <w:szCs w:val="22"/>
            <w:u w:val="single"/>
            <w:shd w:val="clear" w:color="auto" w:fill="FFFFFF"/>
          </w:rPr>
          <w:t>4201</w:t>
        </w:r>
      </w:hyperlink>
      <w:r w:rsidRPr="00683919">
        <w:rPr>
          <w:color w:val="333333"/>
          <w:sz w:val="22"/>
          <w:szCs w:val="22"/>
          <w:shd w:val="clear" w:color="auto" w:fill="FFFFFF"/>
        </w:rPr>
        <w:t>-</w:t>
      </w:r>
      <w:hyperlink r:id="rId9" w:history="1">
        <w:r w:rsidRPr="00683919">
          <w:rPr>
            <w:color w:val="0068AC"/>
            <w:sz w:val="22"/>
            <w:szCs w:val="22"/>
            <w:u w:val="single"/>
            <w:shd w:val="clear" w:color="auto" w:fill="FFFFFF"/>
          </w:rPr>
          <w:t>4655</w:t>
        </w:r>
      </w:hyperlink>
      <w:r w:rsidRPr="00683919">
        <w:rPr>
          <w:color w:val="333333"/>
          <w:sz w:val="22"/>
          <w:szCs w:val="22"/>
          <w:shd w:val="clear" w:color="auto" w:fill="FFFFFF"/>
        </w:rPr>
        <w:t>) and implementing regulations at </w:t>
      </w:r>
      <w:hyperlink r:id="rId10" w:history="1">
        <w:r w:rsidRPr="00683919">
          <w:rPr>
            <w:color w:val="0068AC"/>
            <w:sz w:val="22"/>
            <w:szCs w:val="22"/>
            <w:u w:val="single"/>
            <w:shd w:val="clear" w:color="auto" w:fill="FFFFFF"/>
          </w:rPr>
          <w:t>49 CFR part 24</w:t>
        </w:r>
      </w:hyperlink>
      <w:r w:rsidRPr="00683919">
        <w:rPr>
          <w:color w:val="333333"/>
          <w:sz w:val="22"/>
          <w:szCs w:val="22"/>
          <w:shd w:val="clear" w:color="auto" w:fill="FFFFFF"/>
        </w:rPr>
        <w:t>.</w:t>
      </w:r>
      <w:r w:rsidRPr="00683919">
        <w:rPr>
          <w:sz w:val="22"/>
          <w:szCs w:val="22"/>
        </w:rPr>
        <w:t>.</w:t>
      </w:r>
      <w:r>
        <w:rPr>
          <w:sz w:val="22"/>
          <w:szCs w:val="22"/>
        </w:rPr>
        <w:t xml:space="preserve"> </w:t>
      </w:r>
      <w:r w:rsidRPr="00B3746F">
        <w:rPr>
          <w:sz w:val="22"/>
          <w:szCs w:val="22"/>
        </w:rPr>
        <w:t xml:space="preserve"> </w:t>
      </w:r>
    </w:p>
    <w:p w14:paraId="5678136C" w14:textId="77777777" w:rsidR="00C43AAE" w:rsidRPr="00E977F5" w:rsidRDefault="00C43AAE" w:rsidP="00C43AAE">
      <w:pPr>
        <w:pStyle w:val="BodyText"/>
        <w:spacing w:line="259" w:lineRule="auto"/>
        <w:ind w:left="134" w:right="71" w:hanging="9"/>
        <w:rPr>
          <w:w w:val="105"/>
          <w:sz w:val="22"/>
          <w:szCs w:val="22"/>
        </w:rPr>
      </w:pPr>
    </w:p>
    <w:p w14:paraId="578E03A1" w14:textId="77777777" w:rsidR="00C43AAE" w:rsidRPr="00E977F5" w:rsidRDefault="00C43AAE" w:rsidP="00C43AAE">
      <w:pPr>
        <w:pStyle w:val="BodyText"/>
        <w:ind w:left="127"/>
        <w:rPr>
          <w:sz w:val="22"/>
          <w:szCs w:val="22"/>
        </w:rPr>
      </w:pPr>
      <w:r w:rsidRPr="00E977F5">
        <w:rPr>
          <w:w w:val="105"/>
          <w:sz w:val="22"/>
          <w:szCs w:val="22"/>
        </w:rPr>
        <w:t>Information provided to the City Co</w:t>
      </w:r>
      <w:r>
        <w:rPr>
          <w:w w:val="105"/>
          <w:sz w:val="22"/>
          <w:szCs w:val="22"/>
        </w:rPr>
        <w:t>mmission</w:t>
      </w:r>
      <w:r w:rsidRPr="00E977F5">
        <w:rPr>
          <w:w w:val="105"/>
          <w:sz w:val="22"/>
          <w:szCs w:val="22"/>
        </w:rPr>
        <w:t xml:space="preserve"> shall include:</w:t>
      </w:r>
    </w:p>
    <w:p w14:paraId="7E2E18D1" w14:textId="77777777" w:rsidR="00C43AAE" w:rsidRPr="00E977F5" w:rsidRDefault="00C43AAE" w:rsidP="00C43AAE">
      <w:pPr>
        <w:pStyle w:val="BodyText"/>
        <w:spacing w:before="10"/>
        <w:rPr>
          <w:sz w:val="22"/>
          <w:szCs w:val="22"/>
        </w:rPr>
      </w:pPr>
    </w:p>
    <w:p w14:paraId="497B0841" w14:textId="77777777" w:rsidR="00C43AAE" w:rsidRPr="00E977F5" w:rsidRDefault="00C43AAE" w:rsidP="00C43AAE">
      <w:pPr>
        <w:pStyle w:val="ListParagraph"/>
        <w:numPr>
          <w:ilvl w:val="0"/>
          <w:numId w:val="1"/>
        </w:numPr>
        <w:tabs>
          <w:tab w:val="left" w:pos="1572"/>
          <w:tab w:val="left" w:pos="1573"/>
        </w:tabs>
        <w:spacing w:line="294" w:lineRule="exact"/>
        <w:ind w:left="1580" w:right="278" w:hanging="731"/>
        <w:contextualSpacing w:val="0"/>
      </w:pPr>
      <w:r w:rsidRPr="00E977F5">
        <w:rPr>
          <w:w w:val="105"/>
        </w:rPr>
        <w:t>The</w:t>
      </w:r>
      <w:r w:rsidRPr="00E977F5">
        <w:rPr>
          <w:spacing w:val="-19"/>
          <w:w w:val="105"/>
        </w:rPr>
        <w:t xml:space="preserve"> </w:t>
      </w:r>
      <w:r w:rsidRPr="00E977F5">
        <w:rPr>
          <w:spacing w:val="-6"/>
          <w:w w:val="105"/>
        </w:rPr>
        <w:t>specialized</w:t>
      </w:r>
      <w:r w:rsidRPr="00E977F5">
        <w:rPr>
          <w:spacing w:val="-36"/>
          <w:w w:val="105"/>
        </w:rPr>
        <w:t xml:space="preserve"> </w:t>
      </w:r>
      <w:r w:rsidRPr="00E977F5">
        <w:rPr>
          <w:w w:val="105"/>
        </w:rPr>
        <w:t>experience</w:t>
      </w:r>
      <w:r w:rsidRPr="00E977F5">
        <w:rPr>
          <w:spacing w:val="-4"/>
          <w:w w:val="105"/>
        </w:rPr>
        <w:t xml:space="preserve"> </w:t>
      </w:r>
      <w:r w:rsidRPr="00E977F5">
        <w:rPr>
          <w:w w:val="105"/>
        </w:rPr>
        <w:t>and</w:t>
      </w:r>
      <w:r w:rsidRPr="00E977F5">
        <w:rPr>
          <w:spacing w:val="2"/>
          <w:w w:val="105"/>
        </w:rPr>
        <w:t xml:space="preserve"> </w:t>
      </w:r>
      <w:r w:rsidRPr="00E977F5">
        <w:rPr>
          <w:w w:val="105"/>
        </w:rPr>
        <w:t>technical</w:t>
      </w:r>
      <w:r w:rsidRPr="00E977F5">
        <w:rPr>
          <w:spacing w:val="7"/>
          <w:w w:val="105"/>
        </w:rPr>
        <w:t xml:space="preserve"> </w:t>
      </w:r>
      <w:r w:rsidRPr="00E977F5">
        <w:rPr>
          <w:w w:val="105"/>
        </w:rPr>
        <w:t>competence</w:t>
      </w:r>
      <w:r w:rsidRPr="00E977F5">
        <w:rPr>
          <w:spacing w:val="-6"/>
          <w:w w:val="105"/>
        </w:rPr>
        <w:t xml:space="preserve"> </w:t>
      </w:r>
      <w:r w:rsidRPr="00E977F5">
        <w:rPr>
          <w:w w:val="105"/>
        </w:rPr>
        <w:t>of</w:t>
      </w:r>
      <w:r w:rsidRPr="00E977F5">
        <w:rPr>
          <w:spacing w:val="8"/>
          <w:w w:val="105"/>
        </w:rPr>
        <w:t xml:space="preserve"> </w:t>
      </w:r>
      <w:r w:rsidRPr="00E977F5">
        <w:rPr>
          <w:w w:val="105"/>
        </w:rPr>
        <w:t>the</w:t>
      </w:r>
      <w:r w:rsidRPr="00E977F5">
        <w:rPr>
          <w:spacing w:val="-24"/>
          <w:w w:val="105"/>
        </w:rPr>
        <w:t xml:space="preserve"> </w:t>
      </w:r>
      <w:r w:rsidRPr="00E977F5">
        <w:rPr>
          <w:w w:val="105"/>
        </w:rPr>
        <w:t>firm</w:t>
      </w:r>
      <w:r w:rsidRPr="00E977F5">
        <w:rPr>
          <w:spacing w:val="2"/>
          <w:w w:val="105"/>
        </w:rPr>
        <w:t xml:space="preserve"> </w:t>
      </w:r>
      <w:r w:rsidRPr="00E977F5">
        <w:rPr>
          <w:w w:val="105"/>
        </w:rPr>
        <w:t>with respect</w:t>
      </w:r>
      <w:r w:rsidRPr="00E977F5">
        <w:rPr>
          <w:spacing w:val="9"/>
          <w:w w:val="105"/>
        </w:rPr>
        <w:t xml:space="preserve"> </w:t>
      </w:r>
      <w:r w:rsidRPr="00E977F5">
        <w:rPr>
          <w:w w:val="105"/>
        </w:rPr>
        <w:t>to appraisal and related work;</w:t>
      </w:r>
    </w:p>
    <w:p w14:paraId="0FF8890C" w14:textId="77777777" w:rsidR="00C43AAE" w:rsidRPr="00E977F5" w:rsidRDefault="00C43AAE" w:rsidP="00C43AAE">
      <w:pPr>
        <w:pStyle w:val="BodyText"/>
        <w:spacing w:before="10"/>
        <w:rPr>
          <w:sz w:val="22"/>
          <w:szCs w:val="22"/>
        </w:rPr>
      </w:pPr>
    </w:p>
    <w:p w14:paraId="4CAE4642" w14:textId="77777777" w:rsidR="00C43AAE" w:rsidRPr="00E977F5" w:rsidRDefault="00C43AAE" w:rsidP="00C43AAE">
      <w:pPr>
        <w:pStyle w:val="ListParagraph"/>
        <w:numPr>
          <w:ilvl w:val="0"/>
          <w:numId w:val="1"/>
        </w:numPr>
        <w:tabs>
          <w:tab w:val="left" w:pos="1572"/>
          <w:tab w:val="left" w:pos="1573"/>
        </w:tabs>
        <w:spacing w:before="2" w:line="252" w:lineRule="auto"/>
        <w:ind w:left="1580" w:right="950" w:hanging="703"/>
        <w:contextualSpacing w:val="0"/>
      </w:pPr>
      <w:r w:rsidRPr="00E977F5">
        <w:rPr>
          <w:w w:val="105"/>
        </w:rPr>
        <w:t>The</w:t>
      </w:r>
      <w:r w:rsidRPr="00E977F5">
        <w:rPr>
          <w:spacing w:val="-8"/>
          <w:w w:val="105"/>
        </w:rPr>
        <w:t xml:space="preserve"> </w:t>
      </w:r>
      <w:r w:rsidRPr="00E977F5">
        <w:rPr>
          <w:w w:val="105"/>
        </w:rPr>
        <w:t>past</w:t>
      </w:r>
      <w:r w:rsidRPr="00E977F5">
        <w:rPr>
          <w:spacing w:val="3"/>
          <w:w w:val="105"/>
        </w:rPr>
        <w:t xml:space="preserve"> </w:t>
      </w:r>
      <w:r w:rsidRPr="00E977F5">
        <w:rPr>
          <w:w w:val="105"/>
        </w:rPr>
        <w:t>performance</w:t>
      </w:r>
      <w:r w:rsidRPr="00E977F5">
        <w:rPr>
          <w:spacing w:val="-8"/>
          <w:w w:val="105"/>
        </w:rPr>
        <w:t xml:space="preserve"> </w:t>
      </w:r>
      <w:r w:rsidRPr="00E977F5">
        <w:rPr>
          <w:w w:val="105"/>
        </w:rPr>
        <w:t>of</w:t>
      </w:r>
      <w:r w:rsidRPr="00E977F5">
        <w:rPr>
          <w:spacing w:val="-7"/>
          <w:w w:val="105"/>
        </w:rPr>
        <w:t xml:space="preserve"> </w:t>
      </w:r>
      <w:r w:rsidRPr="00E977F5">
        <w:rPr>
          <w:w w:val="105"/>
        </w:rPr>
        <w:t>the</w:t>
      </w:r>
      <w:r w:rsidRPr="00E977F5">
        <w:rPr>
          <w:spacing w:val="-18"/>
          <w:w w:val="105"/>
        </w:rPr>
        <w:t xml:space="preserve"> </w:t>
      </w:r>
      <w:r w:rsidRPr="00E977F5">
        <w:rPr>
          <w:w w:val="105"/>
        </w:rPr>
        <w:t>firm</w:t>
      </w:r>
      <w:r w:rsidRPr="00E977F5">
        <w:rPr>
          <w:spacing w:val="-2"/>
          <w:w w:val="105"/>
        </w:rPr>
        <w:t xml:space="preserve"> </w:t>
      </w:r>
      <w:r w:rsidRPr="00E977F5">
        <w:rPr>
          <w:w w:val="105"/>
        </w:rPr>
        <w:t>with</w:t>
      </w:r>
      <w:r w:rsidRPr="00E977F5">
        <w:rPr>
          <w:spacing w:val="-4"/>
          <w:w w:val="105"/>
        </w:rPr>
        <w:t xml:space="preserve"> </w:t>
      </w:r>
      <w:r w:rsidRPr="00E977F5">
        <w:rPr>
          <w:w w:val="105"/>
        </w:rPr>
        <w:t>respect</w:t>
      </w:r>
      <w:r w:rsidRPr="00E977F5">
        <w:rPr>
          <w:spacing w:val="1"/>
          <w:w w:val="105"/>
        </w:rPr>
        <w:t xml:space="preserve"> </w:t>
      </w:r>
      <w:r w:rsidRPr="00E977F5">
        <w:rPr>
          <w:w w:val="105"/>
        </w:rPr>
        <w:t>to</w:t>
      </w:r>
      <w:r w:rsidRPr="00E977F5">
        <w:rPr>
          <w:spacing w:val="-17"/>
          <w:w w:val="105"/>
        </w:rPr>
        <w:t xml:space="preserve"> </w:t>
      </w:r>
      <w:r w:rsidRPr="00E977F5">
        <w:rPr>
          <w:w w:val="105"/>
        </w:rPr>
        <w:t>such</w:t>
      </w:r>
      <w:r w:rsidRPr="00E977F5">
        <w:rPr>
          <w:spacing w:val="-26"/>
          <w:w w:val="105"/>
        </w:rPr>
        <w:t xml:space="preserve"> </w:t>
      </w:r>
      <w:r w:rsidRPr="00E977F5">
        <w:rPr>
          <w:w w:val="105"/>
        </w:rPr>
        <w:t>factors</w:t>
      </w:r>
      <w:r w:rsidRPr="00E977F5">
        <w:rPr>
          <w:spacing w:val="-8"/>
          <w:w w:val="105"/>
        </w:rPr>
        <w:t xml:space="preserve"> </w:t>
      </w:r>
      <w:r w:rsidRPr="00E977F5">
        <w:rPr>
          <w:w w:val="105"/>
        </w:rPr>
        <w:t xml:space="preserve">as </w:t>
      </w:r>
      <w:r w:rsidRPr="00E977F5">
        <w:rPr>
          <w:spacing w:val="-3"/>
          <w:w w:val="105"/>
        </w:rPr>
        <w:t>accessibility</w:t>
      </w:r>
      <w:r w:rsidRPr="00E977F5">
        <w:rPr>
          <w:spacing w:val="-6"/>
          <w:w w:val="105"/>
        </w:rPr>
        <w:t xml:space="preserve"> </w:t>
      </w:r>
      <w:r w:rsidRPr="00E977F5">
        <w:rPr>
          <w:w w:val="105"/>
        </w:rPr>
        <w:t xml:space="preserve">to clients, quality of work, and ability to meet </w:t>
      </w:r>
      <w:r w:rsidRPr="00E977F5">
        <w:rPr>
          <w:spacing w:val="2"/>
          <w:w w:val="105"/>
        </w:rPr>
        <w:t>schedules;</w:t>
      </w:r>
    </w:p>
    <w:p w14:paraId="54CA34F5" w14:textId="77777777" w:rsidR="00C43AAE" w:rsidRPr="00E977F5" w:rsidRDefault="00C43AAE" w:rsidP="00C43AAE">
      <w:pPr>
        <w:pStyle w:val="BodyText"/>
        <w:spacing w:before="8"/>
        <w:rPr>
          <w:sz w:val="22"/>
          <w:szCs w:val="22"/>
        </w:rPr>
      </w:pPr>
    </w:p>
    <w:p w14:paraId="6C5E72D1" w14:textId="77777777" w:rsidR="00C43AAE" w:rsidRPr="00E977F5" w:rsidRDefault="00C43AAE" w:rsidP="00C43AAE">
      <w:pPr>
        <w:pStyle w:val="ListParagraph"/>
        <w:numPr>
          <w:ilvl w:val="0"/>
          <w:numId w:val="1"/>
        </w:numPr>
        <w:tabs>
          <w:tab w:val="left" w:pos="1581"/>
          <w:tab w:val="left" w:pos="1582"/>
        </w:tabs>
        <w:spacing w:line="252" w:lineRule="auto"/>
        <w:ind w:left="1590" w:right="753" w:hanging="734"/>
        <w:contextualSpacing w:val="0"/>
      </w:pPr>
      <w:r w:rsidRPr="00E977F5">
        <w:rPr>
          <w:w w:val="105"/>
        </w:rPr>
        <w:t>The</w:t>
      </w:r>
      <w:r w:rsidRPr="00E977F5">
        <w:rPr>
          <w:spacing w:val="-29"/>
          <w:w w:val="105"/>
        </w:rPr>
        <w:t xml:space="preserve"> </w:t>
      </w:r>
      <w:r w:rsidRPr="00E977F5">
        <w:rPr>
          <w:spacing w:val="2"/>
          <w:w w:val="105"/>
        </w:rPr>
        <w:t>firm'</w:t>
      </w:r>
      <w:r w:rsidRPr="00E977F5">
        <w:rPr>
          <w:spacing w:val="-50"/>
          <w:w w:val="105"/>
        </w:rPr>
        <w:t xml:space="preserve"> </w:t>
      </w:r>
      <w:r w:rsidRPr="00E977F5">
        <w:rPr>
          <w:w w:val="105"/>
        </w:rPr>
        <w:t>s</w:t>
      </w:r>
      <w:r w:rsidRPr="00E977F5">
        <w:rPr>
          <w:spacing w:val="-2"/>
          <w:w w:val="105"/>
        </w:rPr>
        <w:t xml:space="preserve"> familiarity or </w:t>
      </w:r>
      <w:r w:rsidRPr="00E977F5">
        <w:rPr>
          <w:w w:val="105"/>
        </w:rPr>
        <w:t>ability to become</w:t>
      </w:r>
      <w:r w:rsidRPr="00E977F5">
        <w:rPr>
          <w:spacing w:val="-16"/>
          <w:w w:val="105"/>
        </w:rPr>
        <w:t xml:space="preserve"> </w:t>
      </w:r>
      <w:r w:rsidRPr="00E977F5">
        <w:rPr>
          <w:w w:val="105"/>
        </w:rPr>
        <w:t>familiar</w:t>
      </w:r>
      <w:r w:rsidRPr="00E977F5">
        <w:rPr>
          <w:spacing w:val="3"/>
          <w:w w:val="105"/>
        </w:rPr>
        <w:t xml:space="preserve"> </w:t>
      </w:r>
      <w:r w:rsidRPr="00E977F5">
        <w:rPr>
          <w:w w:val="105"/>
        </w:rPr>
        <w:t>with</w:t>
      </w:r>
      <w:r w:rsidRPr="00E977F5">
        <w:rPr>
          <w:spacing w:val="-10"/>
          <w:w w:val="105"/>
        </w:rPr>
        <w:t xml:space="preserve"> </w:t>
      </w:r>
      <w:r w:rsidRPr="00E977F5">
        <w:rPr>
          <w:w w:val="105"/>
        </w:rPr>
        <w:t>the</w:t>
      </w:r>
      <w:r w:rsidRPr="00E977F5">
        <w:rPr>
          <w:spacing w:val="-23"/>
          <w:w w:val="105"/>
        </w:rPr>
        <w:t xml:space="preserve"> </w:t>
      </w:r>
      <w:r w:rsidRPr="00E977F5">
        <w:rPr>
          <w:w w:val="105"/>
        </w:rPr>
        <w:t>area</w:t>
      </w:r>
      <w:r w:rsidRPr="00E977F5">
        <w:rPr>
          <w:spacing w:val="-21"/>
          <w:w w:val="105"/>
        </w:rPr>
        <w:t xml:space="preserve"> </w:t>
      </w:r>
      <w:r w:rsidRPr="00E977F5">
        <w:rPr>
          <w:w w:val="105"/>
        </w:rPr>
        <w:t>in</w:t>
      </w:r>
      <w:r w:rsidRPr="00E977F5">
        <w:rPr>
          <w:spacing w:val="5"/>
          <w:w w:val="105"/>
        </w:rPr>
        <w:t xml:space="preserve"> </w:t>
      </w:r>
      <w:r w:rsidRPr="00E977F5">
        <w:rPr>
          <w:w w:val="105"/>
        </w:rPr>
        <w:t>which</w:t>
      </w:r>
      <w:r w:rsidRPr="00E977F5">
        <w:rPr>
          <w:spacing w:val="13"/>
          <w:w w:val="105"/>
        </w:rPr>
        <w:t xml:space="preserve"> </w:t>
      </w:r>
      <w:r w:rsidRPr="00E977F5">
        <w:rPr>
          <w:w w:val="105"/>
        </w:rPr>
        <w:t xml:space="preserve">the project </w:t>
      </w:r>
      <w:r w:rsidRPr="00E977F5">
        <w:rPr>
          <w:spacing w:val="-3"/>
          <w:w w:val="105"/>
        </w:rPr>
        <w:t>is</w:t>
      </w:r>
      <w:r w:rsidRPr="00E977F5">
        <w:rPr>
          <w:spacing w:val="-2"/>
          <w:w w:val="105"/>
        </w:rPr>
        <w:t xml:space="preserve"> </w:t>
      </w:r>
      <w:r w:rsidRPr="00E977F5">
        <w:rPr>
          <w:w w:val="105"/>
        </w:rPr>
        <w:t>located;</w:t>
      </w:r>
    </w:p>
    <w:p w14:paraId="7E67B7A1" w14:textId="77777777" w:rsidR="00C43AAE" w:rsidRPr="00E977F5" w:rsidRDefault="00C43AAE" w:rsidP="00C43AAE">
      <w:pPr>
        <w:pStyle w:val="BodyText"/>
        <w:spacing w:before="8"/>
        <w:rPr>
          <w:sz w:val="22"/>
          <w:szCs w:val="22"/>
        </w:rPr>
      </w:pPr>
    </w:p>
    <w:p w14:paraId="6BFC977E" w14:textId="77777777" w:rsidR="00C43AAE" w:rsidRPr="00E977F5" w:rsidRDefault="00C43AAE" w:rsidP="00C43AAE">
      <w:pPr>
        <w:pStyle w:val="ListParagraph"/>
        <w:numPr>
          <w:ilvl w:val="0"/>
          <w:numId w:val="1"/>
        </w:numPr>
        <w:tabs>
          <w:tab w:val="left" w:pos="1579"/>
          <w:tab w:val="left" w:pos="1580"/>
        </w:tabs>
        <w:ind w:left="1579" w:hanging="722"/>
        <w:contextualSpacing w:val="0"/>
      </w:pPr>
      <w:r w:rsidRPr="00E977F5">
        <w:rPr>
          <w:w w:val="105"/>
        </w:rPr>
        <w:t>Cost of</w:t>
      </w:r>
      <w:r w:rsidRPr="00E977F5">
        <w:rPr>
          <w:spacing w:val="-10"/>
          <w:w w:val="105"/>
        </w:rPr>
        <w:t xml:space="preserve"> </w:t>
      </w:r>
      <w:r w:rsidRPr="00E977F5">
        <w:rPr>
          <w:w w:val="105"/>
        </w:rPr>
        <w:t>services under scope of work;</w:t>
      </w:r>
    </w:p>
    <w:p w14:paraId="544CAE4A" w14:textId="77777777" w:rsidR="00C43AAE" w:rsidRPr="00E977F5" w:rsidRDefault="00C43AAE" w:rsidP="00C43AAE">
      <w:pPr>
        <w:pStyle w:val="BodyText"/>
        <w:spacing w:before="10"/>
        <w:rPr>
          <w:sz w:val="22"/>
          <w:szCs w:val="22"/>
        </w:rPr>
      </w:pPr>
    </w:p>
    <w:p w14:paraId="1CC72DEB" w14:textId="77777777" w:rsidR="00C43AAE" w:rsidRPr="00E977F5" w:rsidRDefault="00C43AAE" w:rsidP="00C43AAE">
      <w:pPr>
        <w:pStyle w:val="ListParagraph"/>
        <w:numPr>
          <w:ilvl w:val="0"/>
          <w:numId w:val="1"/>
        </w:numPr>
        <w:tabs>
          <w:tab w:val="left" w:pos="1585"/>
          <w:tab w:val="left" w:pos="1586"/>
        </w:tabs>
        <w:spacing w:line="252" w:lineRule="auto"/>
        <w:ind w:right="323" w:hanging="731"/>
        <w:contextualSpacing w:val="0"/>
      </w:pPr>
      <w:r w:rsidRPr="00E977F5">
        <w:rPr>
          <w:w w:val="105"/>
        </w:rPr>
        <w:t>References</w:t>
      </w:r>
      <w:r w:rsidRPr="00E977F5">
        <w:rPr>
          <w:spacing w:val="-19"/>
          <w:w w:val="105"/>
        </w:rPr>
        <w:t xml:space="preserve"> </w:t>
      </w:r>
      <w:r w:rsidRPr="00E977F5">
        <w:rPr>
          <w:w w:val="105"/>
        </w:rPr>
        <w:t>from</w:t>
      </w:r>
      <w:r w:rsidRPr="00E977F5">
        <w:rPr>
          <w:spacing w:val="-21"/>
          <w:w w:val="105"/>
        </w:rPr>
        <w:t xml:space="preserve"> </w:t>
      </w:r>
      <w:r w:rsidRPr="00E977F5">
        <w:rPr>
          <w:w w:val="105"/>
        </w:rPr>
        <w:t>previous</w:t>
      </w:r>
      <w:r w:rsidRPr="00E977F5">
        <w:rPr>
          <w:spacing w:val="-17"/>
          <w:w w:val="105"/>
        </w:rPr>
        <w:t xml:space="preserve"> </w:t>
      </w:r>
      <w:r w:rsidRPr="00E977F5">
        <w:rPr>
          <w:w w:val="105"/>
        </w:rPr>
        <w:t>clients</w:t>
      </w:r>
      <w:r w:rsidRPr="00E977F5">
        <w:rPr>
          <w:spacing w:val="-15"/>
          <w:w w:val="105"/>
        </w:rPr>
        <w:t xml:space="preserve"> </w:t>
      </w:r>
      <w:r w:rsidRPr="00E977F5">
        <w:rPr>
          <w:w w:val="105"/>
        </w:rPr>
        <w:t>of</w:t>
      </w:r>
      <w:r w:rsidRPr="00E977F5">
        <w:rPr>
          <w:spacing w:val="-11"/>
          <w:w w:val="105"/>
        </w:rPr>
        <w:t xml:space="preserve"> </w:t>
      </w:r>
      <w:r w:rsidRPr="00E977F5">
        <w:rPr>
          <w:w w:val="105"/>
        </w:rPr>
        <w:t>related</w:t>
      </w:r>
      <w:r w:rsidRPr="00E977F5">
        <w:rPr>
          <w:spacing w:val="-4"/>
          <w:w w:val="105"/>
        </w:rPr>
        <w:t xml:space="preserve"> </w:t>
      </w:r>
      <w:r w:rsidRPr="00E977F5">
        <w:rPr>
          <w:w w:val="105"/>
        </w:rPr>
        <w:t>work</w:t>
      </w:r>
      <w:r w:rsidRPr="00E977F5">
        <w:rPr>
          <w:spacing w:val="-10"/>
          <w:w w:val="105"/>
        </w:rPr>
        <w:t xml:space="preserve"> </w:t>
      </w:r>
      <w:r w:rsidRPr="00E977F5">
        <w:rPr>
          <w:w w:val="105"/>
        </w:rPr>
        <w:t>with</w:t>
      </w:r>
      <w:r w:rsidRPr="00E977F5">
        <w:rPr>
          <w:spacing w:val="-9"/>
          <w:w w:val="105"/>
        </w:rPr>
        <w:t xml:space="preserve"> </w:t>
      </w:r>
      <w:r w:rsidRPr="00E977F5">
        <w:rPr>
          <w:w w:val="105"/>
        </w:rPr>
        <w:t>the</w:t>
      </w:r>
      <w:r w:rsidRPr="00E977F5">
        <w:rPr>
          <w:spacing w:val="-27"/>
          <w:w w:val="105"/>
        </w:rPr>
        <w:t xml:space="preserve"> </w:t>
      </w:r>
      <w:r w:rsidRPr="00E977F5">
        <w:rPr>
          <w:w w:val="105"/>
        </w:rPr>
        <w:t>firm</w:t>
      </w:r>
      <w:r w:rsidRPr="00E977F5">
        <w:rPr>
          <w:spacing w:val="-7"/>
          <w:w w:val="105"/>
        </w:rPr>
        <w:t xml:space="preserve"> </w:t>
      </w:r>
      <w:r w:rsidRPr="00E977F5">
        <w:rPr>
          <w:w w:val="105"/>
        </w:rPr>
        <w:t>within the past five</w:t>
      </w:r>
      <w:r w:rsidRPr="00E977F5">
        <w:rPr>
          <w:spacing w:val="-45"/>
          <w:w w:val="105"/>
        </w:rPr>
        <w:t xml:space="preserve"> </w:t>
      </w:r>
      <w:r w:rsidRPr="00E977F5">
        <w:rPr>
          <w:w w:val="105"/>
        </w:rPr>
        <w:t>years.</w:t>
      </w:r>
    </w:p>
    <w:p w14:paraId="20394C77" w14:textId="77777777" w:rsidR="00C43AAE" w:rsidRPr="00E977F5" w:rsidRDefault="00C43AAE" w:rsidP="00C43AAE">
      <w:pPr>
        <w:pStyle w:val="BodyText"/>
        <w:spacing w:before="10"/>
        <w:rPr>
          <w:sz w:val="22"/>
          <w:szCs w:val="22"/>
        </w:rPr>
      </w:pPr>
    </w:p>
    <w:p w14:paraId="51373EA1" w14:textId="77777777" w:rsidR="00C43AAE" w:rsidRPr="00E977F5" w:rsidRDefault="00C43AAE" w:rsidP="00C43AAE">
      <w:pPr>
        <w:pStyle w:val="ListParagraph"/>
        <w:numPr>
          <w:ilvl w:val="0"/>
          <w:numId w:val="1"/>
        </w:numPr>
        <w:tabs>
          <w:tab w:val="left" w:pos="1579"/>
          <w:tab w:val="left" w:pos="1580"/>
        </w:tabs>
        <w:spacing w:line="237" w:lineRule="auto"/>
        <w:ind w:left="1579" w:right="1378" w:hanging="723"/>
        <w:contextualSpacing w:val="0"/>
      </w:pPr>
      <w:r w:rsidRPr="004A542F">
        <w:rPr>
          <w:w w:val="105"/>
        </w:rPr>
        <w:t>Certification and</w:t>
      </w:r>
      <w:r w:rsidRPr="004A542F">
        <w:rPr>
          <w:spacing w:val="-31"/>
          <w:w w:val="105"/>
        </w:rPr>
        <w:t>/</w:t>
      </w:r>
      <w:r w:rsidRPr="00E977F5">
        <w:rPr>
          <w:w w:val="105"/>
        </w:rPr>
        <w:t>or</w:t>
      </w:r>
      <w:r w:rsidRPr="00E977F5">
        <w:rPr>
          <w:spacing w:val="-12"/>
          <w:w w:val="105"/>
        </w:rPr>
        <w:t xml:space="preserve"> </w:t>
      </w:r>
      <w:r w:rsidRPr="00E977F5">
        <w:rPr>
          <w:w w:val="105"/>
        </w:rPr>
        <w:t>license</w:t>
      </w:r>
      <w:r w:rsidRPr="00E977F5">
        <w:rPr>
          <w:spacing w:val="-1"/>
          <w:w w:val="105"/>
        </w:rPr>
        <w:t xml:space="preserve"> </w:t>
      </w:r>
      <w:r w:rsidRPr="004A542F">
        <w:rPr>
          <w:spacing w:val="-1"/>
          <w:w w:val="105"/>
        </w:rPr>
        <w:t>of the</w:t>
      </w:r>
      <w:r w:rsidRPr="00ED3D26">
        <w:rPr>
          <w:spacing w:val="-1"/>
          <w:w w:val="105"/>
        </w:rPr>
        <w:t xml:space="preserve"> </w:t>
      </w:r>
      <w:r w:rsidRPr="00E977F5">
        <w:rPr>
          <w:spacing w:val="-1"/>
          <w:w w:val="105"/>
        </w:rPr>
        <w:t xml:space="preserve">Real Estate Appraiser, </w:t>
      </w:r>
      <w:r w:rsidRPr="00D76255">
        <w:rPr>
          <w:spacing w:val="-1"/>
          <w:w w:val="105"/>
        </w:rPr>
        <w:t xml:space="preserve">confirming they are </w:t>
      </w:r>
      <w:r w:rsidRPr="00E977F5">
        <w:rPr>
          <w:spacing w:val="-1"/>
          <w:w w:val="105"/>
        </w:rPr>
        <w:t xml:space="preserve">active and in good standing </w:t>
      </w:r>
      <w:r w:rsidRPr="00E977F5">
        <w:rPr>
          <w:w w:val="105"/>
        </w:rPr>
        <w:t>with</w:t>
      </w:r>
      <w:r w:rsidRPr="00E977F5">
        <w:rPr>
          <w:spacing w:val="-22"/>
          <w:w w:val="105"/>
        </w:rPr>
        <w:t xml:space="preserve"> </w:t>
      </w:r>
      <w:r w:rsidRPr="00E977F5">
        <w:rPr>
          <w:w w:val="105"/>
        </w:rPr>
        <w:t>the</w:t>
      </w:r>
      <w:r w:rsidRPr="00E977F5">
        <w:rPr>
          <w:spacing w:val="-20"/>
          <w:w w:val="105"/>
        </w:rPr>
        <w:t xml:space="preserve"> </w:t>
      </w:r>
      <w:r w:rsidRPr="00E977F5">
        <w:rPr>
          <w:w w:val="105"/>
        </w:rPr>
        <w:t>Florida</w:t>
      </w:r>
      <w:r w:rsidRPr="00E977F5">
        <w:rPr>
          <w:spacing w:val="-9"/>
          <w:w w:val="105"/>
        </w:rPr>
        <w:t xml:space="preserve"> </w:t>
      </w:r>
      <w:r w:rsidRPr="00E977F5">
        <w:rPr>
          <w:w w:val="105"/>
        </w:rPr>
        <w:t>Department of Business and Professional Regulation</w:t>
      </w:r>
    </w:p>
    <w:p w14:paraId="4F6A98AE" w14:textId="77777777" w:rsidR="00C43AAE" w:rsidRPr="00E977F5" w:rsidRDefault="00C43AAE" w:rsidP="00C43AAE">
      <w:pPr>
        <w:pStyle w:val="BodyText"/>
        <w:spacing w:before="10"/>
        <w:rPr>
          <w:sz w:val="22"/>
          <w:szCs w:val="22"/>
        </w:rPr>
      </w:pPr>
    </w:p>
    <w:p w14:paraId="0F5269EA" w14:textId="2A7C6ACB" w:rsidR="00C43AAE" w:rsidRPr="00375D6C" w:rsidRDefault="00C43AAE" w:rsidP="00C43AAE">
      <w:pPr>
        <w:widowControl/>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Bids</w:t>
      </w:r>
      <w:r w:rsidRPr="00375D6C">
        <w:rPr>
          <w:rFonts w:ascii="TimesNewRomanPS-BoldMT" w:eastAsiaTheme="minorHAnsi" w:hAnsi="TimesNewRomanPS-BoldMT" w:cs="TimesNewRomanPS-BoldMT"/>
          <w:b/>
          <w:bCs/>
          <w:sz w:val="24"/>
          <w:szCs w:val="24"/>
        </w:rPr>
        <w:t xml:space="preserve"> will be due by </w:t>
      </w:r>
      <w:r w:rsidR="0046241F">
        <w:rPr>
          <w:rFonts w:ascii="TimesNewRomanPS-BoldMT" w:eastAsiaTheme="minorHAnsi" w:hAnsi="TimesNewRomanPS-BoldMT" w:cs="TimesNewRomanPS-BoldMT"/>
          <w:b/>
          <w:bCs/>
          <w:sz w:val="24"/>
          <w:szCs w:val="24"/>
        </w:rPr>
        <w:t xml:space="preserve">the amended date of </w:t>
      </w:r>
      <w:r w:rsidRPr="00696AAA">
        <w:rPr>
          <w:rFonts w:ascii="TimesNewRomanPS-BoldMT" w:eastAsiaTheme="minorHAnsi" w:hAnsi="TimesNewRomanPS-BoldMT" w:cs="TimesNewRomanPS-BoldMT"/>
          <w:b/>
          <w:bCs/>
          <w:sz w:val="24"/>
          <w:szCs w:val="24"/>
        </w:rPr>
        <w:t>Tuesday</w:t>
      </w:r>
      <w:r w:rsidRPr="00375D6C">
        <w:rPr>
          <w:rFonts w:ascii="TimesNewRomanPS-BoldMT" w:eastAsiaTheme="minorHAnsi" w:hAnsi="TimesNewRomanPS-BoldMT" w:cs="TimesNewRomanPS-BoldMT"/>
          <w:b/>
          <w:bCs/>
          <w:sz w:val="24"/>
          <w:szCs w:val="24"/>
        </w:rPr>
        <w:t xml:space="preserve">, </w:t>
      </w:r>
      <w:r w:rsidR="0087768C">
        <w:rPr>
          <w:rFonts w:ascii="TimesNewRomanPS-BoldMT" w:eastAsiaTheme="minorHAnsi" w:hAnsi="TimesNewRomanPS-BoldMT" w:cs="TimesNewRomanPS-BoldMT"/>
          <w:b/>
          <w:bCs/>
          <w:sz w:val="24"/>
          <w:szCs w:val="24"/>
        </w:rPr>
        <w:t>May</w:t>
      </w:r>
      <w:r w:rsidRPr="00375D6C">
        <w:rPr>
          <w:rFonts w:ascii="TimesNewRomanPS-BoldMT" w:eastAsiaTheme="minorHAnsi" w:hAnsi="TimesNewRomanPS-BoldMT" w:cs="TimesNewRomanPS-BoldMT"/>
          <w:b/>
          <w:bCs/>
          <w:sz w:val="24"/>
          <w:szCs w:val="24"/>
        </w:rPr>
        <w:t xml:space="preserve"> </w:t>
      </w:r>
      <w:r w:rsidR="00694EA7">
        <w:rPr>
          <w:rFonts w:ascii="TimesNewRomanPS-BoldMT" w:eastAsiaTheme="minorHAnsi" w:hAnsi="TimesNewRomanPS-BoldMT" w:cs="TimesNewRomanPS-BoldMT"/>
          <w:b/>
          <w:bCs/>
          <w:sz w:val="24"/>
          <w:szCs w:val="24"/>
        </w:rPr>
        <w:t>14</w:t>
      </w:r>
      <w:r w:rsidRPr="00375D6C">
        <w:rPr>
          <w:rFonts w:ascii="TimesNewRomanPS-BoldMT" w:eastAsiaTheme="minorHAnsi" w:hAnsi="TimesNewRomanPS-BoldMT" w:cs="TimesNewRomanPS-BoldMT"/>
          <w:b/>
          <w:bCs/>
          <w:sz w:val="24"/>
          <w:szCs w:val="24"/>
        </w:rPr>
        <w:t>, 202</w:t>
      </w:r>
      <w:r>
        <w:rPr>
          <w:rFonts w:ascii="TimesNewRomanPS-BoldMT" w:eastAsiaTheme="minorHAnsi" w:hAnsi="TimesNewRomanPS-BoldMT" w:cs="TimesNewRomanPS-BoldMT"/>
          <w:b/>
          <w:bCs/>
          <w:sz w:val="24"/>
          <w:szCs w:val="24"/>
        </w:rPr>
        <w:t>4</w:t>
      </w:r>
      <w:r w:rsidRPr="00375D6C">
        <w:rPr>
          <w:rFonts w:ascii="TimesNewRomanPS-BoldMT" w:eastAsiaTheme="minorHAnsi" w:hAnsi="TimesNewRomanPS-BoldMT" w:cs="TimesNewRomanPS-BoldMT"/>
          <w:b/>
          <w:bCs/>
          <w:sz w:val="24"/>
          <w:szCs w:val="24"/>
        </w:rPr>
        <w:t xml:space="preserve"> at 12 PM Noon</w:t>
      </w:r>
      <w:r>
        <w:rPr>
          <w:rFonts w:ascii="TimesNewRomanPS-BoldMT" w:eastAsiaTheme="minorHAnsi" w:hAnsi="TimesNewRomanPS-BoldMT" w:cs="TimesNewRomanPS-BoldMT"/>
          <w:b/>
          <w:bCs/>
          <w:sz w:val="24"/>
          <w:szCs w:val="24"/>
        </w:rPr>
        <w:t xml:space="preserve"> CST</w:t>
      </w:r>
      <w:r w:rsidRPr="00375D6C">
        <w:rPr>
          <w:rFonts w:ascii="TimesNewRomanPS-BoldMT" w:eastAsiaTheme="minorHAnsi" w:hAnsi="TimesNewRomanPS-BoldMT" w:cs="TimesNewRomanPS-BoldMT"/>
          <w:b/>
          <w:bCs/>
          <w:sz w:val="24"/>
          <w:szCs w:val="24"/>
        </w:rPr>
        <w:t xml:space="preserve">. </w:t>
      </w:r>
      <w:r>
        <w:rPr>
          <w:rFonts w:ascii="TimesNewRomanPS-BoldMT" w:eastAsiaTheme="minorHAnsi" w:hAnsi="TimesNewRomanPS-BoldMT" w:cs="TimesNewRomanPS-BoldMT"/>
          <w:b/>
          <w:bCs/>
          <w:sz w:val="24"/>
          <w:szCs w:val="24"/>
        </w:rPr>
        <w:t>Bids shall be s</w:t>
      </w:r>
      <w:r w:rsidRPr="00375D6C">
        <w:rPr>
          <w:rFonts w:ascii="TimesNewRomanPS-BoldMT" w:eastAsiaTheme="minorHAnsi" w:hAnsi="TimesNewRomanPS-BoldMT" w:cs="TimesNewRomanPS-BoldMT"/>
          <w:b/>
          <w:bCs/>
          <w:sz w:val="24"/>
          <w:szCs w:val="24"/>
        </w:rPr>
        <w:t>ubmit</w:t>
      </w:r>
      <w:r w:rsidR="00F957D1">
        <w:rPr>
          <w:rFonts w:ascii="TimesNewRomanPS-BoldMT" w:eastAsiaTheme="minorHAnsi" w:hAnsi="TimesNewRomanPS-BoldMT" w:cs="TimesNewRomanPS-BoldMT"/>
          <w:b/>
          <w:bCs/>
          <w:sz w:val="24"/>
          <w:szCs w:val="24"/>
        </w:rPr>
        <w:t>ted</w:t>
      </w:r>
      <w:r w:rsidRPr="00375D6C">
        <w:rPr>
          <w:rFonts w:ascii="TimesNewRomanPS-BoldMT" w:eastAsiaTheme="minorHAnsi" w:hAnsi="TimesNewRomanPS-BoldMT" w:cs="TimesNewRomanPS-BoldMT"/>
          <w:b/>
          <w:bCs/>
          <w:sz w:val="24"/>
          <w:szCs w:val="24"/>
        </w:rPr>
        <w:t xml:space="preserve"> to the City of</w:t>
      </w:r>
      <w:r>
        <w:rPr>
          <w:rFonts w:ascii="TimesNewRomanPS-BoldMT" w:eastAsiaTheme="minorHAnsi" w:hAnsi="TimesNewRomanPS-BoldMT" w:cs="TimesNewRomanPS-BoldMT"/>
          <w:b/>
          <w:bCs/>
          <w:sz w:val="24"/>
          <w:szCs w:val="24"/>
        </w:rPr>
        <w:t xml:space="preserve"> </w:t>
      </w:r>
      <w:r w:rsidRPr="00375D6C">
        <w:rPr>
          <w:rFonts w:ascii="TimesNewRomanPS-BoldMT" w:eastAsiaTheme="minorHAnsi" w:hAnsi="TimesNewRomanPS-BoldMT" w:cs="TimesNewRomanPS-BoldMT"/>
          <w:b/>
          <w:bCs/>
          <w:sz w:val="24"/>
          <w:szCs w:val="24"/>
        </w:rPr>
        <w:t xml:space="preserve">Cottondale, ATTN: Sherri McBride, </w:t>
      </w:r>
      <w:r>
        <w:rPr>
          <w:rFonts w:ascii="TimesNewRomanPS-BoldMT" w:eastAsiaTheme="minorHAnsi" w:hAnsi="TimesNewRomanPS-BoldMT" w:cs="TimesNewRomanPS-BoldMT"/>
          <w:b/>
          <w:bCs/>
          <w:sz w:val="24"/>
          <w:szCs w:val="24"/>
        </w:rPr>
        <w:t xml:space="preserve">City Clerk, </w:t>
      </w:r>
      <w:r w:rsidRPr="00375D6C">
        <w:rPr>
          <w:rFonts w:ascii="TimesNewRomanPS-BoldMT" w:eastAsiaTheme="minorHAnsi" w:hAnsi="TimesNewRomanPS-BoldMT" w:cs="TimesNewRomanPS-BoldMT"/>
          <w:b/>
          <w:bCs/>
          <w:sz w:val="24"/>
          <w:szCs w:val="24"/>
        </w:rPr>
        <w:t>PO Box 398; 2659 Front Street, Cottondale, FL 32431</w:t>
      </w:r>
    </w:p>
    <w:p w14:paraId="67B5E9B5" w14:textId="77777777" w:rsidR="00C43AAE" w:rsidRDefault="00C43AAE" w:rsidP="00C43AAE">
      <w:pPr>
        <w:widowControl/>
        <w:adjustRightInd w:val="0"/>
        <w:rPr>
          <w:rFonts w:ascii="TimesNewRomanPS-ItalicMT" w:eastAsiaTheme="minorHAnsi" w:hAnsi="TimesNewRomanPS-ItalicMT" w:cs="TimesNewRomanPS-ItalicMT"/>
          <w:i/>
          <w:iCs/>
          <w:sz w:val="24"/>
          <w:szCs w:val="24"/>
        </w:rPr>
      </w:pPr>
    </w:p>
    <w:p w14:paraId="48D3AB55" w14:textId="77777777" w:rsidR="00C43AAE" w:rsidRDefault="00C43AAE" w:rsidP="00C43AAE">
      <w:pPr>
        <w:widowControl/>
        <w:adjustRightInd w:val="0"/>
        <w:rPr>
          <w:rFonts w:ascii="TimesNewRomanPS-ItalicMT" w:eastAsiaTheme="minorHAnsi" w:hAnsi="TimesNewRomanPS-ItalicMT" w:cs="TimesNewRomanPS-ItalicMT"/>
          <w:i/>
          <w:iCs/>
          <w:sz w:val="24"/>
          <w:szCs w:val="24"/>
        </w:rPr>
      </w:pPr>
      <w:r w:rsidRPr="002B7B66">
        <w:rPr>
          <w:w w:val="105"/>
        </w:rPr>
        <w:t xml:space="preserve">The City of </w:t>
      </w:r>
      <w:r>
        <w:rPr>
          <w:w w:val="105"/>
        </w:rPr>
        <w:t>Cottondale</w:t>
      </w:r>
      <w:r w:rsidRPr="002B7B66">
        <w:rPr>
          <w:w w:val="105"/>
        </w:rPr>
        <w:t xml:space="preserve"> is an Equal Opportunity Employer</w:t>
      </w:r>
      <w:r>
        <w:rPr>
          <w:w w:val="105"/>
        </w:rPr>
        <w:t xml:space="preserve">, a Handicapped Accessible and Fair Housing Jurisdiction </w:t>
      </w:r>
      <w:r w:rsidRPr="002B7B66">
        <w:rPr>
          <w:w w:val="105"/>
        </w:rPr>
        <w:t>and invites the submission of proposals from Minority and Women-owned firms.</w:t>
      </w:r>
    </w:p>
    <w:p w14:paraId="7B60A8E7" w14:textId="77777777" w:rsidR="00C43AAE" w:rsidRDefault="00C43AAE" w:rsidP="00C43AAE">
      <w:pPr>
        <w:widowControl/>
        <w:adjustRightInd w:val="0"/>
        <w:rPr>
          <w:rFonts w:ascii="TimesNewRomanPS-ItalicMT" w:eastAsiaTheme="minorHAnsi" w:hAnsi="TimesNewRomanPS-ItalicMT" w:cs="TimesNewRomanPS-ItalicMT"/>
          <w:i/>
          <w:iCs/>
          <w:sz w:val="24"/>
          <w:szCs w:val="24"/>
        </w:rPr>
      </w:pPr>
    </w:p>
    <w:p w14:paraId="57F839BD" w14:textId="77777777" w:rsidR="00C43AAE" w:rsidRDefault="00C43AAE" w:rsidP="00C43AAE">
      <w:pPr>
        <w:pStyle w:val="BodyText"/>
        <w:spacing w:before="2"/>
        <w:jc w:val="center"/>
        <w:rPr>
          <w:b/>
          <w:bCs/>
          <w:sz w:val="22"/>
          <w:szCs w:val="22"/>
        </w:rPr>
      </w:pPr>
    </w:p>
    <w:p w14:paraId="70A7FC65" w14:textId="77777777" w:rsidR="00C43AAE" w:rsidRDefault="00C43AAE" w:rsidP="00C43AAE">
      <w:pPr>
        <w:pStyle w:val="BodyText"/>
        <w:spacing w:before="2"/>
        <w:jc w:val="center"/>
        <w:rPr>
          <w:b/>
          <w:bCs/>
          <w:sz w:val="22"/>
          <w:szCs w:val="22"/>
        </w:rPr>
      </w:pPr>
    </w:p>
    <w:p w14:paraId="1A9E8465" w14:textId="77777777" w:rsidR="00C43AAE" w:rsidRDefault="00C43AAE" w:rsidP="00C43AAE">
      <w:pPr>
        <w:pStyle w:val="BodyText"/>
        <w:spacing w:before="2"/>
        <w:jc w:val="center"/>
        <w:rPr>
          <w:b/>
          <w:bCs/>
          <w:sz w:val="22"/>
          <w:szCs w:val="22"/>
        </w:rPr>
      </w:pPr>
    </w:p>
    <w:p w14:paraId="016493B5" w14:textId="77777777" w:rsidR="00C43AAE" w:rsidRDefault="00C43AAE" w:rsidP="00C43AAE">
      <w:pPr>
        <w:pStyle w:val="BodyText"/>
        <w:spacing w:before="2"/>
        <w:jc w:val="center"/>
        <w:rPr>
          <w:b/>
          <w:bCs/>
          <w:sz w:val="22"/>
          <w:szCs w:val="22"/>
        </w:rPr>
      </w:pPr>
    </w:p>
    <w:p w14:paraId="698B6204" w14:textId="77777777" w:rsidR="00C43AAE" w:rsidRDefault="00C43AAE" w:rsidP="00C43AAE">
      <w:pPr>
        <w:pStyle w:val="BodyText"/>
        <w:spacing w:before="2"/>
        <w:jc w:val="center"/>
        <w:rPr>
          <w:b/>
          <w:bCs/>
          <w:sz w:val="22"/>
          <w:szCs w:val="22"/>
        </w:rPr>
      </w:pPr>
    </w:p>
    <w:p w14:paraId="546A7A46" w14:textId="77777777" w:rsidR="00C43AAE" w:rsidRDefault="00C43AAE" w:rsidP="00C43AAE">
      <w:pPr>
        <w:pStyle w:val="BodyText"/>
        <w:spacing w:before="2"/>
        <w:jc w:val="center"/>
        <w:rPr>
          <w:b/>
          <w:bCs/>
          <w:sz w:val="22"/>
          <w:szCs w:val="22"/>
        </w:rPr>
      </w:pPr>
    </w:p>
    <w:p w14:paraId="559A318B" w14:textId="77777777" w:rsidR="00C43AAE" w:rsidRDefault="00C43AAE" w:rsidP="00C43AAE">
      <w:pPr>
        <w:pStyle w:val="BodyText"/>
        <w:spacing w:before="2"/>
        <w:jc w:val="center"/>
        <w:rPr>
          <w:b/>
          <w:bCs/>
          <w:sz w:val="22"/>
          <w:szCs w:val="22"/>
        </w:rPr>
      </w:pPr>
    </w:p>
    <w:p w14:paraId="14AEBE27" w14:textId="77777777" w:rsidR="00C43AAE" w:rsidRDefault="00C43AAE" w:rsidP="00C43AAE">
      <w:pPr>
        <w:pStyle w:val="BodyText"/>
        <w:spacing w:before="2"/>
        <w:jc w:val="center"/>
        <w:rPr>
          <w:b/>
          <w:bCs/>
          <w:sz w:val="22"/>
          <w:szCs w:val="22"/>
        </w:rPr>
      </w:pPr>
    </w:p>
    <w:p w14:paraId="368F4F7D" w14:textId="77777777" w:rsidR="00C43AAE" w:rsidRDefault="00C43AAE" w:rsidP="00C43AAE">
      <w:pPr>
        <w:pStyle w:val="BodyText"/>
        <w:spacing w:before="2"/>
        <w:jc w:val="center"/>
        <w:rPr>
          <w:b/>
          <w:bCs/>
          <w:sz w:val="22"/>
          <w:szCs w:val="22"/>
        </w:rPr>
      </w:pPr>
    </w:p>
    <w:p w14:paraId="39889C4E" w14:textId="77777777" w:rsidR="00C43AAE" w:rsidRDefault="00C43AAE" w:rsidP="00C43AAE">
      <w:pPr>
        <w:pStyle w:val="BodyText"/>
        <w:spacing w:before="2"/>
        <w:jc w:val="center"/>
        <w:rPr>
          <w:b/>
          <w:bCs/>
          <w:sz w:val="22"/>
          <w:szCs w:val="22"/>
        </w:rPr>
      </w:pPr>
    </w:p>
    <w:p w14:paraId="7FB21301" w14:textId="77777777" w:rsidR="00C43AAE" w:rsidRDefault="00C43AAE" w:rsidP="00C43AAE">
      <w:pPr>
        <w:pStyle w:val="BodyText"/>
        <w:spacing w:before="2"/>
        <w:jc w:val="center"/>
        <w:rPr>
          <w:b/>
          <w:bCs/>
          <w:sz w:val="22"/>
          <w:szCs w:val="22"/>
        </w:rPr>
      </w:pPr>
    </w:p>
    <w:p w14:paraId="48BBD890" w14:textId="77777777" w:rsidR="00C43AAE" w:rsidRDefault="00C43AAE" w:rsidP="00C43AAE">
      <w:pPr>
        <w:pStyle w:val="BodyText"/>
        <w:spacing w:before="2"/>
        <w:jc w:val="center"/>
        <w:rPr>
          <w:b/>
          <w:bCs/>
          <w:sz w:val="22"/>
          <w:szCs w:val="22"/>
        </w:rPr>
      </w:pPr>
    </w:p>
    <w:p w14:paraId="0544B330" w14:textId="77777777" w:rsidR="00C43AAE" w:rsidRDefault="00C43AAE" w:rsidP="00C43AAE">
      <w:pPr>
        <w:pStyle w:val="BodyText"/>
        <w:spacing w:before="2"/>
        <w:jc w:val="center"/>
        <w:rPr>
          <w:b/>
          <w:bCs/>
          <w:sz w:val="22"/>
          <w:szCs w:val="22"/>
        </w:rPr>
      </w:pPr>
    </w:p>
    <w:p w14:paraId="101D635E" w14:textId="2ADC13BE" w:rsidR="00C43AAE" w:rsidRDefault="00C43AAE" w:rsidP="00C43AAE">
      <w:pPr>
        <w:pStyle w:val="BodyText"/>
        <w:spacing w:before="2"/>
        <w:jc w:val="center"/>
        <w:rPr>
          <w:b/>
          <w:bCs/>
          <w:sz w:val="22"/>
          <w:szCs w:val="22"/>
        </w:rPr>
      </w:pPr>
      <w:r w:rsidRPr="00E977F5">
        <w:rPr>
          <w:b/>
          <w:bCs/>
          <w:sz w:val="22"/>
          <w:szCs w:val="22"/>
        </w:rPr>
        <w:t>SCOPE OF WORK</w:t>
      </w:r>
      <w:r>
        <w:rPr>
          <w:b/>
          <w:bCs/>
          <w:sz w:val="22"/>
          <w:szCs w:val="22"/>
        </w:rPr>
        <w:t xml:space="preserve"> CITY OF COTTONDALE CDBG-CV GRANT #</w:t>
      </w:r>
      <w:r w:rsidRPr="001F7908">
        <w:rPr>
          <w:b/>
          <w:bCs/>
          <w:sz w:val="22"/>
          <w:szCs w:val="22"/>
        </w:rPr>
        <w:t>22CV-S1</w:t>
      </w:r>
      <w:r>
        <w:rPr>
          <w:b/>
          <w:bCs/>
          <w:sz w:val="22"/>
          <w:szCs w:val="22"/>
        </w:rPr>
        <w:t>5</w:t>
      </w:r>
      <w:r w:rsidRPr="00E977F5">
        <w:rPr>
          <w:b/>
          <w:bCs/>
          <w:sz w:val="22"/>
          <w:szCs w:val="22"/>
        </w:rPr>
        <w:t xml:space="preserve"> APPRAISAL</w:t>
      </w:r>
      <w:r>
        <w:rPr>
          <w:b/>
          <w:bCs/>
          <w:sz w:val="22"/>
          <w:szCs w:val="22"/>
        </w:rPr>
        <w:t xml:space="preserve"> AND REVIEW APPRAISAL</w:t>
      </w:r>
    </w:p>
    <w:p w14:paraId="5279C2A5" w14:textId="2FF7E115" w:rsidR="00C43AAE" w:rsidRPr="00E977F5" w:rsidRDefault="00C43AAE" w:rsidP="00C43AAE">
      <w:pPr>
        <w:pStyle w:val="Heading1"/>
        <w:ind w:right="50"/>
        <w:jc w:val="both"/>
        <w:rPr>
          <w:b/>
          <w:bCs/>
          <w:w w:val="105"/>
          <w:sz w:val="22"/>
          <w:szCs w:val="22"/>
        </w:rPr>
      </w:pPr>
      <w:r w:rsidRPr="00E977F5">
        <w:rPr>
          <w:w w:val="105"/>
          <w:sz w:val="22"/>
          <w:szCs w:val="22"/>
        </w:rPr>
        <w:t xml:space="preserve">A-1: </w:t>
      </w:r>
      <w:r w:rsidRPr="00E977F5">
        <w:rPr>
          <w:w w:val="105"/>
          <w:sz w:val="22"/>
          <w:szCs w:val="22"/>
        </w:rPr>
        <w:tab/>
        <w:t>The City is requesting proposals</w:t>
      </w:r>
      <w:r w:rsidRPr="00696AAA">
        <w:rPr>
          <w:w w:val="105"/>
          <w:sz w:val="22"/>
          <w:szCs w:val="22"/>
          <w:u w:val="single"/>
        </w:rPr>
        <w:t>,</w:t>
      </w:r>
      <w:r w:rsidRPr="00E977F5">
        <w:rPr>
          <w:w w:val="105"/>
          <w:sz w:val="22"/>
          <w:szCs w:val="22"/>
        </w:rPr>
        <w:t xml:space="preserve"> outlined in the Request for Proposals</w:t>
      </w:r>
      <w:r w:rsidRPr="00D76255">
        <w:rPr>
          <w:w w:val="105"/>
          <w:sz w:val="22"/>
          <w:szCs w:val="22"/>
        </w:rPr>
        <w:t>,</w:t>
      </w:r>
      <w:r w:rsidRPr="00E977F5">
        <w:rPr>
          <w:w w:val="105"/>
          <w:sz w:val="22"/>
          <w:szCs w:val="22"/>
        </w:rPr>
        <w:t xml:space="preserve"> for licensed Florida Real Estate Appraisers to conduct an appraisal of fair market value for acquisition of the entire land and improvements located at</w:t>
      </w:r>
      <w:r>
        <w:rPr>
          <w:w w:val="105"/>
          <w:sz w:val="22"/>
          <w:szCs w:val="22"/>
        </w:rPr>
        <w:t xml:space="preserve"> 2662 Front Street</w:t>
      </w:r>
      <w:r w:rsidRPr="00E977F5">
        <w:rPr>
          <w:w w:val="105"/>
          <w:sz w:val="22"/>
          <w:szCs w:val="22"/>
        </w:rPr>
        <w:t xml:space="preserve">, </w:t>
      </w:r>
      <w:r>
        <w:rPr>
          <w:w w:val="105"/>
          <w:sz w:val="22"/>
          <w:szCs w:val="22"/>
        </w:rPr>
        <w:t>Cottondale</w:t>
      </w:r>
      <w:r w:rsidRPr="00E977F5">
        <w:rPr>
          <w:w w:val="105"/>
          <w:sz w:val="22"/>
          <w:szCs w:val="22"/>
        </w:rPr>
        <w:t>, Florida 32</w:t>
      </w:r>
      <w:r>
        <w:rPr>
          <w:w w:val="105"/>
          <w:sz w:val="22"/>
          <w:szCs w:val="22"/>
        </w:rPr>
        <w:t>431</w:t>
      </w:r>
      <w:r w:rsidRPr="00E977F5">
        <w:rPr>
          <w:w w:val="105"/>
          <w:sz w:val="22"/>
          <w:szCs w:val="22"/>
        </w:rPr>
        <w:t xml:space="preserve"> – </w:t>
      </w:r>
      <w:bookmarkStart w:id="1" w:name="_Hlk129964197"/>
      <w:r>
        <w:rPr>
          <w:w w:val="105"/>
          <w:sz w:val="22"/>
          <w:szCs w:val="22"/>
        </w:rPr>
        <w:t xml:space="preserve">Jackson County Property Appraiser’s </w:t>
      </w:r>
      <w:r w:rsidRPr="00E977F5">
        <w:rPr>
          <w:w w:val="105"/>
          <w:sz w:val="22"/>
          <w:szCs w:val="22"/>
        </w:rPr>
        <w:t>Parcel</w:t>
      </w:r>
      <w:r>
        <w:rPr>
          <w:w w:val="105"/>
          <w:sz w:val="22"/>
          <w:szCs w:val="22"/>
        </w:rPr>
        <w:t xml:space="preserve"> Number</w:t>
      </w:r>
      <w:r w:rsidRPr="00E977F5">
        <w:rPr>
          <w:w w:val="105"/>
          <w:sz w:val="22"/>
          <w:szCs w:val="22"/>
        </w:rPr>
        <w:t>:</w:t>
      </w:r>
      <w:r w:rsidRPr="001F7908">
        <w:rPr>
          <w:sz w:val="22"/>
          <w:szCs w:val="22"/>
        </w:rPr>
        <w:t xml:space="preserve"> </w:t>
      </w:r>
      <w:r>
        <w:rPr>
          <w:sz w:val="22"/>
          <w:szCs w:val="22"/>
        </w:rPr>
        <w:t>#31-5N-11-0089-00R0-0050</w:t>
      </w:r>
      <w:bookmarkEnd w:id="1"/>
      <w:r w:rsidRPr="00E977F5">
        <w:rPr>
          <w:color w:val="212529"/>
          <w:sz w:val="22"/>
          <w:szCs w:val="22"/>
          <w:shd w:val="clear" w:color="auto" w:fill="FFFFFF"/>
        </w:rPr>
        <w:t>.</w:t>
      </w:r>
    </w:p>
    <w:p w14:paraId="7370158B" w14:textId="45919B2C" w:rsidR="00C43AAE" w:rsidRDefault="00C43AAE" w:rsidP="00C43AAE">
      <w:pPr>
        <w:pStyle w:val="Heading1"/>
        <w:ind w:right="50"/>
        <w:jc w:val="both"/>
        <w:rPr>
          <w:b/>
          <w:bCs/>
          <w:w w:val="105"/>
          <w:sz w:val="22"/>
          <w:szCs w:val="22"/>
        </w:rPr>
      </w:pPr>
      <w:r>
        <w:rPr>
          <w:w w:val="105"/>
          <w:sz w:val="22"/>
          <w:szCs w:val="22"/>
        </w:rPr>
        <w:t xml:space="preserve">The appraisal shall be submitted to the City as it is completed, and the appraisal must be completed and submitted to the City of Cottondale no later than 30 days following the execution of a contract between the City and the firm awarded to conduct the appraisals. The City will review the appraisal and will deliver the same to the firm awarded to conduct the review </w:t>
      </w:r>
      <w:r w:rsidRPr="00D76255">
        <w:rPr>
          <w:w w:val="105"/>
          <w:sz w:val="22"/>
          <w:szCs w:val="22"/>
        </w:rPr>
        <w:t xml:space="preserve">of </w:t>
      </w:r>
      <w:r>
        <w:rPr>
          <w:w w:val="105"/>
          <w:sz w:val="22"/>
          <w:szCs w:val="22"/>
        </w:rPr>
        <w:t xml:space="preserve">the </w:t>
      </w:r>
      <w:r w:rsidRPr="00D76255">
        <w:rPr>
          <w:w w:val="105"/>
          <w:sz w:val="22"/>
          <w:szCs w:val="22"/>
        </w:rPr>
        <w:t>appraiser’s</w:t>
      </w:r>
      <w:r w:rsidRPr="007645A7">
        <w:rPr>
          <w:w w:val="105"/>
          <w:sz w:val="22"/>
          <w:szCs w:val="22"/>
        </w:rPr>
        <w:t xml:space="preserve"> </w:t>
      </w:r>
      <w:r>
        <w:rPr>
          <w:w w:val="105"/>
          <w:sz w:val="22"/>
          <w:szCs w:val="22"/>
        </w:rPr>
        <w:t>methodology and approach of the completed appraisals.  Following the completion of the review appraisal by a separate firm, the appraisal firm shall work with the review appraiser to reach mutually agreed upon appraised values for any appraisals they disagree on.</w:t>
      </w:r>
    </w:p>
    <w:p w14:paraId="0931A85D" w14:textId="4F4AE56D" w:rsidR="00C43AAE" w:rsidRDefault="00C43AAE" w:rsidP="00C43AAE">
      <w:pPr>
        <w:pStyle w:val="Heading1"/>
        <w:ind w:right="50"/>
        <w:jc w:val="both"/>
        <w:rPr>
          <w:w w:val="105"/>
        </w:rPr>
      </w:pPr>
      <w:r>
        <w:rPr>
          <w:w w:val="105"/>
          <w:sz w:val="22"/>
          <w:szCs w:val="22"/>
        </w:rPr>
        <w:t xml:space="preserve">B-1: </w:t>
      </w:r>
      <w:r w:rsidRPr="00E977F5">
        <w:rPr>
          <w:w w:val="105"/>
          <w:sz w:val="22"/>
          <w:szCs w:val="22"/>
        </w:rPr>
        <w:t xml:space="preserve">The City is requesting proposals outlined in the Request for Proposals for licensed Florida Real Estate Appraisers to conduct </w:t>
      </w:r>
      <w:r>
        <w:rPr>
          <w:w w:val="105"/>
          <w:sz w:val="22"/>
          <w:szCs w:val="22"/>
        </w:rPr>
        <w:t xml:space="preserve">a review and to provide a report of concurrence or non-concurrence of the appraisal (conducted by the separate firm) for the above referenced: Full appraisal of Jackson County Property Appraiser’s </w:t>
      </w:r>
      <w:r w:rsidRPr="00E977F5">
        <w:rPr>
          <w:w w:val="105"/>
          <w:sz w:val="22"/>
          <w:szCs w:val="22"/>
        </w:rPr>
        <w:t>Parcel</w:t>
      </w:r>
      <w:r>
        <w:rPr>
          <w:w w:val="105"/>
          <w:sz w:val="22"/>
          <w:szCs w:val="22"/>
        </w:rPr>
        <w:t xml:space="preserve"> Number</w:t>
      </w:r>
      <w:r w:rsidRPr="00E977F5">
        <w:rPr>
          <w:w w:val="105"/>
          <w:sz w:val="22"/>
          <w:szCs w:val="22"/>
        </w:rPr>
        <w:t>:</w:t>
      </w:r>
      <w:r w:rsidRPr="001F7908">
        <w:rPr>
          <w:sz w:val="22"/>
          <w:szCs w:val="22"/>
        </w:rPr>
        <w:t xml:space="preserve"> </w:t>
      </w:r>
      <w:r>
        <w:rPr>
          <w:sz w:val="22"/>
          <w:szCs w:val="22"/>
        </w:rPr>
        <w:t>#31-5N-11-0089-00R0-0050</w:t>
      </w:r>
      <w:r w:rsidRPr="00E977F5">
        <w:rPr>
          <w:w w:val="105"/>
          <w:sz w:val="22"/>
          <w:szCs w:val="22"/>
        </w:rPr>
        <w:t>:</w:t>
      </w:r>
      <w:r>
        <w:rPr>
          <w:w w:val="105"/>
          <w:sz w:val="22"/>
          <w:szCs w:val="22"/>
        </w:rPr>
        <w:t xml:space="preserve">  The review appraisal shall be submitted to the City as it is completed, and the review appraisal must be completed and submitted to the City of Cottondale no later than 30 days following the review appraiser’s receipt of said completed appraisal from the City. Following the completion of the review appraisal, the review appraisal firm shall work with the initial appraiser to reach mutually agreed upon appraised value</w:t>
      </w:r>
      <w:r w:rsidRPr="002B7B66">
        <w:rPr>
          <w:w w:val="105"/>
          <w:sz w:val="22"/>
          <w:szCs w:val="22"/>
        </w:rPr>
        <w:t xml:space="preserve"> </w:t>
      </w:r>
      <w:r>
        <w:rPr>
          <w:w w:val="105"/>
          <w:sz w:val="22"/>
          <w:szCs w:val="22"/>
        </w:rPr>
        <w:t>for any appraisal they disagree on.</w:t>
      </w:r>
      <w:r>
        <w:rPr>
          <w:w w:val="105"/>
          <w:sz w:val="22"/>
          <w:szCs w:val="22"/>
        </w:rPr>
        <w:br w:type="page"/>
      </w:r>
    </w:p>
    <w:p w14:paraId="5114B779" w14:textId="77777777" w:rsidR="00C43AAE" w:rsidRDefault="00C43AAE" w:rsidP="00C43AAE">
      <w:pPr>
        <w:pStyle w:val="Heading1"/>
        <w:ind w:right="50"/>
        <w:jc w:val="both"/>
        <w:rPr>
          <w:b/>
          <w:bCs/>
          <w:w w:val="105"/>
          <w:sz w:val="22"/>
          <w:szCs w:val="22"/>
        </w:rPr>
        <w:sectPr w:rsidR="00C43AAE" w:rsidSect="00C43AAE">
          <w:headerReference w:type="default" r:id="rId11"/>
          <w:pgSz w:w="12240" w:h="15840"/>
          <w:pgMar w:top="810" w:right="1220" w:bottom="280" w:left="1340" w:header="720" w:footer="720" w:gutter="0"/>
          <w:cols w:space="720"/>
        </w:sectPr>
      </w:pPr>
    </w:p>
    <w:p w14:paraId="22CF85EF" w14:textId="77777777" w:rsidR="00C43AAE" w:rsidRDefault="00C43AAE" w:rsidP="00C43AAE">
      <w:pPr>
        <w:pStyle w:val="Heading1"/>
        <w:ind w:left="1260" w:right="50"/>
        <w:jc w:val="both"/>
        <w:rPr>
          <w:b/>
          <w:bCs/>
          <w:w w:val="105"/>
          <w:sz w:val="22"/>
          <w:szCs w:val="22"/>
        </w:rPr>
      </w:pPr>
      <w:r w:rsidRPr="000F7036">
        <w:rPr>
          <w:w w:val="105"/>
          <w:sz w:val="28"/>
          <w:szCs w:val="28"/>
        </w:rPr>
        <w:lastRenderedPageBreak/>
        <w:t>APPRAISAL PROPOS</w:t>
      </w:r>
      <w:r>
        <w:rPr>
          <w:w w:val="105"/>
          <w:sz w:val="28"/>
          <w:szCs w:val="28"/>
        </w:rPr>
        <w:t>ED</w:t>
      </w:r>
      <w:r w:rsidRPr="000F7036">
        <w:rPr>
          <w:w w:val="105"/>
          <w:sz w:val="28"/>
          <w:szCs w:val="28"/>
        </w:rPr>
        <w:t xml:space="preserve"> FEES</w:t>
      </w:r>
    </w:p>
    <w:p w14:paraId="0E51E7A9" w14:textId="77777777" w:rsidR="00C43AAE" w:rsidRDefault="00C43AAE" w:rsidP="00C43AAE">
      <w:pPr>
        <w:pStyle w:val="Heading1"/>
        <w:ind w:right="50" w:firstLine="1170"/>
        <w:rPr>
          <w:w w:val="105"/>
          <w:sz w:val="22"/>
          <w:szCs w:val="22"/>
        </w:rPr>
      </w:pPr>
    </w:p>
    <w:p w14:paraId="7730FCF5" w14:textId="3B47E9EC" w:rsidR="00C43AAE" w:rsidRPr="00D97F67" w:rsidRDefault="00C43AAE" w:rsidP="00C43AAE">
      <w:pPr>
        <w:pStyle w:val="Heading1"/>
        <w:ind w:right="50" w:firstLine="1170"/>
        <w:rPr>
          <w:w w:val="105"/>
          <w:sz w:val="22"/>
          <w:szCs w:val="22"/>
        </w:rPr>
      </w:pPr>
      <w:r>
        <w:rPr>
          <w:w w:val="105"/>
          <w:sz w:val="22"/>
          <w:szCs w:val="22"/>
        </w:rPr>
        <w:t xml:space="preserve"> APPRAISALS OF ONE VACANT PARCEL OF PROPERTY </w:t>
      </w:r>
    </w:p>
    <w:tbl>
      <w:tblPr>
        <w:tblStyle w:val="TableGrid"/>
        <w:tblW w:w="13050" w:type="dxa"/>
        <w:tblInd w:w="1255" w:type="dxa"/>
        <w:tblLook w:val="04A0" w:firstRow="1" w:lastRow="0" w:firstColumn="1" w:lastColumn="0" w:noHBand="0" w:noVBand="1"/>
      </w:tblPr>
      <w:tblGrid>
        <w:gridCol w:w="1800"/>
        <w:gridCol w:w="3359"/>
        <w:gridCol w:w="5499"/>
        <w:gridCol w:w="2392"/>
      </w:tblGrid>
      <w:tr w:rsidR="00C43AAE" w14:paraId="0D94F304" w14:textId="77777777" w:rsidTr="00C43AAE">
        <w:tc>
          <w:tcPr>
            <w:tcW w:w="1800" w:type="dxa"/>
          </w:tcPr>
          <w:p w14:paraId="2D65368B" w14:textId="77777777" w:rsidR="00C43AAE" w:rsidRDefault="00C43AAE" w:rsidP="00F51CE9">
            <w:pPr>
              <w:pStyle w:val="Heading1"/>
              <w:ind w:right="50"/>
              <w:rPr>
                <w:sz w:val="22"/>
                <w:szCs w:val="22"/>
              </w:rPr>
            </w:pPr>
            <w:r>
              <w:rPr>
                <w:sz w:val="22"/>
                <w:szCs w:val="22"/>
              </w:rPr>
              <w:t>PARCEL</w:t>
            </w:r>
          </w:p>
        </w:tc>
        <w:tc>
          <w:tcPr>
            <w:tcW w:w="3359" w:type="dxa"/>
          </w:tcPr>
          <w:p w14:paraId="1EEA4FEF" w14:textId="77777777" w:rsidR="00C43AAE" w:rsidRDefault="00C43AAE" w:rsidP="00F51CE9">
            <w:pPr>
              <w:pStyle w:val="Heading1"/>
              <w:ind w:right="50"/>
              <w:rPr>
                <w:sz w:val="22"/>
                <w:szCs w:val="22"/>
              </w:rPr>
            </w:pPr>
            <w:r>
              <w:rPr>
                <w:sz w:val="22"/>
                <w:szCs w:val="22"/>
              </w:rPr>
              <w:t>ADDRESS</w:t>
            </w:r>
          </w:p>
        </w:tc>
        <w:tc>
          <w:tcPr>
            <w:tcW w:w="5499" w:type="dxa"/>
          </w:tcPr>
          <w:p w14:paraId="1E094AB5" w14:textId="77777777" w:rsidR="00C43AAE" w:rsidRPr="001779BD" w:rsidRDefault="00C43AAE" w:rsidP="00F51CE9">
            <w:pPr>
              <w:pStyle w:val="Heading1"/>
              <w:ind w:right="50"/>
              <w:rPr>
                <w:sz w:val="22"/>
                <w:szCs w:val="22"/>
              </w:rPr>
            </w:pPr>
            <w:r>
              <w:rPr>
                <w:sz w:val="22"/>
                <w:szCs w:val="22"/>
              </w:rPr>
              <w:t>APPRAISAL FOR ACQUISITION OF</w:t>
            </w:r>
          </w:p>
        </w:tc>
        <w:tc>
          <w:tcPr>
            <w:tcW w:w="2392" w:type="dxa"/>
          </w:tcPr>
          <w:p w14:paraId="6583D526" w14:textId="77777777" w:rsidR="00C43AAE" w:rsidRPr="001779BD" w:rsidRDefault="00C43AAE" w:rsidP="00F51CE9">
            <w:pPr>
              <w:pStyle w:val="Heading1"/>
              <w:ind w:right="50"/>
              <w:rPr>
                <w:sz w:val="22"/>
                <w:szCs w:val="22"/>
              </w:rPr>
            </w:pPr>
            <w:r w:rsidRPr="001779BD">
              <w:rPr>
                <w:sz w:val="22"/>
                <w:szCs w:val="22"/>
              </w:rPr>
              <w:t xml:space="preserve">APPRAISAL </w:t>
            </w:r>
            <w:r>
              <w:rPr>
                <w:sz w:val="22"/>
                <w:szCs w:val="22"/>
              </w:rPr>
              <w:t>FEE</w:t>
            </w:r>
          </w:p>
        </w:tc>
      </w:tr>
      <w:tr w:rsidR="00C43AAE" w14:paraId="151E6CCF" w14:textId="77777777" w:rsidTr="00C43AAE">
        <w:tc>
          <w:tcPr>
            <w:tcW w:w="1800" w:type="dxa"/>
          </w:tcPr>
          <w:p w14:paraId="263B9C9F" w14:textId="0DCB9DC7" w:rsidR="00C43AAE" w:rsidRPr="00D97F67" w:rsidRDefault="00C43AAE" w:rsidP="00F51CE9">
            <w:pPr>
              <w:pStyle w:val="Heading1"/>
              <w:ind w:right="50"/>
              <w:rPr>
                <w:b/>
                <w:bCs/>
                <w:sz w:val="22"/>
                <w:szCs w:val="22"/>
              </w:rPr>
            </w:pPr>
            <w:r>
              <w:rPr>
                <w:sz w:val="22"/>
                <w:szCs w:val="22"/>
              </w:rPr>
              <w:t>31-5N-11-0089-00R0-0050</w:t>
            </w:r>
          </w:p>
        </w:tc>
        <w:tc>
          <w:tcPr>
            <w:tcW w:w="3359" w:type="dxa"/>
          </w:tcPr>
          <w:p w14:paraId="57F45421" w14:textId="09C8B760" w:rsidR="00C43AAE" w:rsidRPr="00D97F67" w:rsidRDefault="0087768C" w:rsidP="00F51CE9">
            <w:pPr>
              <w:pStyle w:val="Heading1"/>
              <w:ind w:right="50"/>
              <w:rPr>
                <w:b/>
                <w:bCs/>
                <w:sz w:val="22"/>
                <w:szCs w:val="22"/>
              </w:rPr>
            </w:pPr>
            <w:r>
              <w:rPr>
                <w:w w:val="105"/>
                <w:sz w:val="22"/>
                <w:szCs w:val="22"/>
              </w:rPr>
              <w:t>2662 Front Street</w:t>
            </w:r>
            <w:r>
              <w:rPr>
                <w:sz w:val="22"/>
                <w:szCs w:val="22"/>
              </w:rPr>
              <w:t xml:space="preserve">. </w:t>
            </w:r>
            <w:r w:rsidR="00C43AAE">
              <w:rPr>
                <w:sz w:val="22"/>
                <w:szCs w:val="22"/>
              </w:rPr>
              <w:t>Cottondale, Florida</w:t>
            </w:r>
            <w:r>
              <w:rPr>
                <w:sz w:val="22"/>
                <w:szCs w:val="22"/>
              </w:rPr>
              <w:t xml:space="preserve"> 32431</w:t>
            </w:r>
          </w:p>
        </w:tc>
        <w:tc>
          <w:tcPr>
            <w:tcW w:w="5499" w:type="dxa"/>
          </w:tcPr>
          <w:p w14:paraId="534C640F" w14:textId="77777777" w:rsidR="00C43AAE" w:rsidRPr="001779BD" w:rsidRDefault="00C43AAE" w:rsidP="00F51CE9">
            <w:pPr>
              <w:pStyle w:val="Heading1"/>
              <w:ind w:right="50"/>
              <w:rPr>
                <w:b/>
                <w:bCs/>
                <w:sz w:val="22"/>
                <w:szCs w:val="22"/>
              </w:rPr>
            </w:pPr>
            <w:r>
              <w:rPr>
                <w:sz w:val="22"/>
                <w:szCs w:val="22"/>
              </w:rPr>
              <w:t>Full Property (Land and Improvements)</w:t>
            </w:r>
          </w:p>
        </w:tc>
        <w:tc>
          <w:tcPr>
            <w:tcW w:w="2392" w:type="dxa"/>
          </w:tcPr>
          <w:p w14:paraId="34A766C5" w14:textId="77777777" w:rsidR="00C43AAE" w:rsidRPr="001779BD" w:rsidRDefault="00C43AAE" w:rsidP="00F51CE9">
            <w:pPr>
              <w:pStyle w:val="Heading1"/>
              <w:ind w:right="50"/>
              <w:rPr>
                <w:b/>
                <w:bCs/>
                <w:sz w:val="22"/>
                <w:szCs w:val="22"/>
              </w:rPr>
            </w:pPr>
            <w:r w:rsidRPr="001779BD">
              <w:rPr>
                <w:sz w:val="22"/>
                <w:szCs w:val="22"/>
              </w:rPr>
              <w:t>$</w:t>
            </w:r>
          </w:p>
        </w:tc>
      </w:tr>
      <w:tr w:rsidR="00C43AAE" w14:paraId="440A74A7" w14:textId="77777777" w:rsidTr="00C43AAE">
        <w:tc>
          <w:tcPr>
            <w:tcW w:w="10658" w:type="dxa"/>
            <w:gridSpan w:val="3"/>
          </w:tcPr>
          <w:p w14:paraId="53151609" w14:textId="77777777" w:rsidR="00C43AAE" w:rsidRDefault="00C43AAE" w:rsidP="00F51CE9">
            <w:pPr>
              <w:pStyle w:val="Heading1"/>
              <w:ind w:right="50"/>
              <w:rPr>
                <w:w w:val="105"/>
                <w:sz w:val="22"/>
                <w:szCs w:val="22"/>
              </w:rPr>
            </w:pPr>
            <w:r>
              <w:rPr>
                <w:w w:val="105"/>
                <w:sz w:val="22"/>
                <w:szCs w:val="22"/>
              </w:rPr>
              <w:t>TOTAL FEE ALL APPRAISALS</w:t>
            </w:r>
          </w:p>
        </w:tc>
        <w:tc>
          <w:tcPr>
            <w:tcW w:w="2392" w:type="dxa"/>
          </w:tcPr>
          <w:p w14:paraId="6AFB4171" w14:textId="77777777" w:rsidR="00C43AAE" w:rsidRDefault="00C43AAE" w:rsidP="00F51CE9">
            <w:pPr>
              <w:pStyle w:val="Heading1"/>
              <w:ind w:right="50"/>
              <w:rPr>
                <w:w w:val="105"/>
                <w:sz w:val="22"/>
                <w:szCs w:val="22"/>
              </w:rPr>
            </w:pPr>
            <w:r>
              <w:rPr>
                <w:w w:val="105"/>
                <w:sz w:val="22"/>
                <w:szCs w:val="22"/>
              </w:rPr>
              <w:t>$</w:t>
            </w:r>
          </w:p>
        </w:tc>
      </w:tr>
    </w:tbl>
    <w:p w14:paraId="0415F589" w14:textId="77777777" w:rsidR="00C43AAE" w:rsidRPr="000F7036" w:rsidRDefault="00C43AAE" w:rsidP="00C43AAE">
      <w:pPr>
        <w:pStyle w:val="Heading1"/>
        <w:ind w:right="50" w:firstLine="1170"/>
        <w:rPr>
          <w:w w:val="105"/>
          <w:sz w:val="28"/>
          <w:szCs w:val="28"/>
        </w:rPr>
      </w:pPr>
      <w:r w:rsidRPr="000F7036">
        <w:rPr>
          <w:w w:val="105"/>
          <w:sz w:val="28"/>
          <w:szCs w:val="28"/>
        </w:rPr>
        <w:t>REVIEW APPRAISAL PROPOS</w:t>
      </w:r>
      <w:r>
        <w:rPr>
          <w:w w:val="105"/>
          <w:sz w:val="28"/>
          <w:szCs w:val="28"/>
        </w:rPr>
        <w:t>ED</w:t>
      </w:r>
      <w:r w:rsidRPr="000F7036">
        <w:rPr>
          <w:w w:val="105"/>
          <w:sz w:val="28"/>
          <w:szCs w:val="28"/>
        </w:rPr>
        <w:t xml:space="preserve"> FEES</w:t>
      </w:r>
    </w:p>
    <w:p w14:paraId="1A0C19F1" w14:textId="07B69CFA" w:rsidR="00C43AAE" w:rsidRPr="00D97F67" w:rsidRDefault="00C43AAE" w:rsidP="00C43AAE">
      <w:pPr>
        <w:pStyle w:val="Heading1"/>
        <w:ind w:left="270" w:right="50" w:firstLine="900"/>
        <w:rPr>
          <w:w w:val="105"/>
          <w:sz w:val="22"/>
          <w:szCs w:val="22"/>
        </w:rPr>
      </w:pPr>
      <w:r>
        <w:rPr>
          <w:w w:val="105"/>
          <w:sz w:val="22"/>
          <w:szCs w:val="22"/>
        </w:rPr>
        <w:t xml:space="preserve">REVIEW APPRAISALS FOR ONE VACANT PARCEL OF PROPERTY </w:t>
      </w:r>
    </w:p>
    <w:tbl>
      <w:tblPr>
        <w:tblStyle w:val="TableGrid"/>
        <w:tblW w:w="13050" w:type="dxa"/>
        <w:tblInd w:w="1255" w:type="dxa"/>
        <w:tblLook w:val="04A0" w:firstRow="1" w:lastRow="0" w:firstColumn="1" w:lastColumn="0" w:noHBand="0" w:noVBand="1"/>
      </w:tblPr>
      <w:tblGrid>
        <w:gridCol w:w="1890"/>
        <w:gridCol w:w="3359"/>
        <w:gridCol w:w="5191"/>
        <w:gridCol w:w="2610"/>
      </w:tblGrid>
      <w:tr w:rsidR="00C43AAE" w14:paraId="1B360CCF" w14:textId="77777777" w:rsidTr="00C43AAE">
        <w:tc>
          <w:tcPr>
            <w:tcW w:w="1890" w:type="dxa"/>
          </w:tcPr>
          <w:p w14:paraId="5D4BF6F5" w14:textId="77777777" w:rsidR="00C43AAE" w:rsidRDefault="00C43AAE" w:rsidP="00F51CE9">
            <w:pPr>
              <w:pStyle w:val="Heading1"/>
              <w:ind w:right="50"/>
              <w:rPr>
                <w:sz w:val="22"/>
                <w:szCs w:val="22"/>
              </w:rPr>
            </w:pPr>
            <w:r>
              <w:rPr>
                <w:sz w:val="22"/>
                <w:szCs w:val="22"/>
              </w:rPr>
              <w:t>PARCEL</w:t>
            </w:r>
          </w:p>
        </w:tc>
        <w:tc>
          <w:tcPr>
            <w:tcW w:w="3359" w:type="dxa"/>
          </w:tcPr>
          <w:p w14:paraId="464E0EFD" w14:textId="77777777" w:rsidR="00C43AAE" w:rsidRDefault="00C43AAE" w:rsidP="00F51CE9">
            <w:pPr>
              <w:pStyle w:val="Heading1"/>
              <w:ind w:right="50"/>
              <w:rPr>
                <w:sz w:val="22"/>
                <w:szCs w:val="22"/>
              </w:rPr>
            </w:pPr>
            <w:r>
              <w:rPr>
                <w:sz w:val="22"/>
                <w:szCs w:val="22"/>
              </w:rPr>
              <w:t>ADDRESS</w:t>
            </w:r>
          </w:p>
        </w:tc>
        <w:tc>
          <w:tcPr>
            <w:tcW w:w="5191" w:type="dxa"/>
          </w:tcPr>
          <w:p w14:paraId="3BA1CEA9" w14:textId="77777777" w:rsidR="00C43AAE" w:rsidRPr="001779BD" w:rsidRDefault="00C43AAE" w:rsidP="00F51CE9">
            <w:pPr>
              <w:pStyle w:val="Heading1"/>
              <w:ind w:right="50"/>
              <w:rPr>
                <w:sz w:val="22"/>
                <w:szCs w:val="22"/>
              </w:rPr>
            </w:pPr>
            <w:r>
              <w:rPr>
                <w:sz w:val="22"/>
                <w:szCs w:val="22"/>
              </w:rPr>
              <w:t>REVIEW APPRAISAL FOR ACQUISITION OF</w:t>
            </w:r>
          </w:p>
        </w:tc>
        <w:tc>
          <w:tcPr>
            <w:tcW w:w="2610" w:type="dxa"/>
          </w:tcPr>
          <w:p w14:paraId="4981FF90" w14:textId="77777777" w:rsidR="00C43AAE" w:rsidRPr="001779BD" w:rsidRDefault="00C43AAE" w:rsidP="00F51CE9">
            <w:pPr>
              <w:pStyle w:val="Heading1"/>
              <w:ind w:right="50"/>
              <w:rPr>
                <w:sz w:val="22"/>
                <w:szCs w:val="22"/>
              </w:rPr>
            </w:pPr>
            <w:r w:rsidRPr="001779BD">
              <w:rPr>
                <w:sz w:val="22"/>
                <w:szCs w:val="22"/>
              </w:rPr>
              <w:t xml:space="preserve">APPRAISAL </w:t>
            </w:r>
            <w:r>
              <w:rPr>
                <w:sz w:val="22"/>
                <w:szCs w:val="22"/>
              </w:rPr>
              <w:t>FEE</w:t>
            </w:r>
          </w:p>
        </w:tc>
      </w:tr>
      <w:tr w:rsidR="00C43AAE" w14:paraId="6B595189" w14:textId="77777777" w:rsidTr="00C43AAE">
        <w:tc>
          <w:tcPr>
            <w:tcW w:w="1890" w:type="dxa"/>
          </w:tcPr>
          <w:p w14:paraId="03961E58" w14:textId="74989E4C" w:rsidR="00C43AAE" w:rsidRPr="00D97F67" w:rsidRDefault="00C43AAE" w:rsidP="00F51CE9">
            <w:pPr>
              <w:pStyle w:val="Heading1"/>
              <w:tabs>
                <w:tab w:val="left" w:pos="1598"/>
              </w:tabs>
              <w:ind w:right="50"/>
              <w:rPr>
                <w:b/>
                <w:bCs/>
                <w:sz w:val="22"/>
                <w:szCs w:val="22"/>
              </w:rPr>
            </w:pPr>
            <w:r>
              <w:rPr>
                <w:sz w:val="22"/>
                <w:szCs w:val="22"/>
              </w:rPr>
              <w:t>31-5N-11-0089-00R0-0050</w:t>
            </w:r>
          </w:p>
        </w:tc>
        <w:tc>
          <w:tcPr>
            <w:tcW w:w="3359" w:type="dxa"/>
          </w:tcPr>
          <w:p w14:paraId="3116D1D6" w14:textId="5B9D0500" w:rsidR="00C43AAE" w:rsidRPr="00D97F67" w:rsidRDefault="0087768C" w:rsidP="00F51CE9">
            <w:pPr>
              <w:pStyle w:val="Heading1"/>
              <w:ind w:right="50"/>
              <w:rPr>
                <w:b/>
                <w:bCs/>
                <w:sz w:val="22"/>
                <w:szCs w:val="22"/>
              </w:rPr>
            </w:pPr>
            <w:r>
              <w:rPr>
                <w:w w:val="105"/>
                <w:sz w:val="22"/>
                <w:szCs w:val="22"/>
              </w:rPr>
              <w:t>2662 Front Street</w:t>
            </w:r>
            <w:r w:rsidR="00C43AAE">
              <w:rPr>
                <w:sz w:val="22"/>
                <w:szCs w:val="22"/>
              </w:rPr>
              <w:t>, Cottondale, Florida</w:t>
            </w:r>
            <w:r>
              <w:rPr>
                <w:sz w:val="22"/>
                <w:szCs w:val="22"/>
              </w:rPr>
              <w:t xml:space="preserve"> 32431</w:t>
            </w:r>
          </w:p>
        </w:tc>
        <w:tc>
          <w:tcPr>
            <w:tcW w:w="5191" w:type="dxa"/>
          </w:tcPr>
          <w:p w14:paraId="537CDD9A" w14:textId="77777777" w:rsidR="00C43AAE" w:rsidRPr="001779BD" w:rsidRDefault="00C43AAE" w:rsidP="00F51CE9">
            <w:pPr>
              <w:pStyle w:val="Heading1"/>
              <w:ind w:right="50"/>
              <w:rPr>
                <w:b/>
                <w:bCs/>
                <w:sz w:val="22"/>
                <w:szCs w:val="22"/>
              </w:rPr>
            </w:pPr>
            <w:r>
              <w:rPr>
                <w:sz w:val="22"/>
                <w:szCs w:val="22"/>
              </w:rPr>
              <w:t>Full Property (Land and Improvements)</w:t>
            </w:r>
          </w:p>
        </w:tc>
        <w:tc>
          <w:tcPr>
            <w:tcW w:w="2610" w:type="dxa"/>
          </w:tcPr>
          <w:p w14:paraId="784E3522" w14:textId="77777777" w:rsidR="00C43AAE" w:rsidRPr="001779BD" w:rsidRDefault="00C43AAE" w:rsidP="00F51CE9">
            <w:pPr>
              <w:pStyle w:val="Heading1"/>
              <w:ind w:right="50"/>
              <w:rPr>
                <w:b/>
                <w:bCs/>
                <w:sz w:val="22"/>
                <w:szCs w:val="22"/>
              </w:rPr>
            </w:pPr>
            <w:r w:rsidRPr="001779BD">
              <w:rPr>
                <w:sz w:val="22"/>
                <w:szCs w:val="22"/>
              </w:rPr>
              <w:t>$</w:t>
            </w:r>
          </w:p>
        </w:tc>
      </w:tr>
      <w:tr w:rsidR="00C43AAE" w14:paraId="756A9A83" w14:textId="77777777" w:rsidTr="00C43AAE">
        <w:trPr>
          <w:trHeight w:val="594"/>
        </w:trPr>
        <w:tc>
          <w:tcPr>
            <w:tcW w:w="10440" w:type="dxa"/>
            <w:gridSpan w:val="3"/>
          </w:tcPr>
          <w:p w14:paraId="040AADF5" w14:textId="77777777" w:rsidR="00C43AAE" w:rsidRDefault="00C43AAE" w:rsidP="00F51CE9">
            <w:pPr>
              <w:pStyle w:val="Heading1"/>
              <w:spacing w:line="480" w:lineRule="auto"/>
              <w:ind w:right="50"/>
              <w:rPr>
                <w:w w:val="105"/>
                <w:sz w:val="22"/>
                <w:szCs w:val="22"/>
              </w:rPr>
            </w:pPr>
            <w:r>
              <w:rPr>
                <w:w w:val="105"/>
                <w:sz w:val="22"/>
                <w:szCs w:val="22"/>
              </w:rPr>
              <w:t>TOTAL FEE ALL REVIEW APPRAISALS</w:t>
            </w:r>
          </w:p>
        </w:tc>
        <w:tc>
          <w:tcPr>
            <w:tcW w:w="2610" w:type="dxa"/>
          </w:tcPr>
          <w:p w14:paraId="28C05431" w14:textId="77777777" w:rsidR="00C43AAE" w:rsidRDefault="00C43AAE" w:rsidP="00F51CE9">
            <w:pPr>
              <w:pStyle w:val="Heading1"/>
              <w:ind w:right="50"/>
              <w:rPr>
                <w:w w:val="105"/>
                <w:sz w:val="22"/>
                <w:szCs w:val="22"/>
              </w:rPr>
            </w:pPr>
            <w:r>
              <w:rPr>
                <w:w w:val="105"/>
                <w:sz w:val="22"/>
                <w:szCs w:val="22"/>
              </w:rPr>
              <w:t>$</w:t>
            </w:r>
          </w:p>
        </w:tc>
      </w:tr>
    </w:tbl>
    <w:p w14:paraId="15B69512" w14:textId="77777777" w:rsidR="00C43AAE" w:rsidRPr="00E977F5" w:rsidRDefault="00C43AAE" w:rsidP="00C43AAE">
      <w:pPr>
        <w:pStyle w:val="Heading1"/>
        <w:ind w:right="50"/>
        <w:rPr>
          <w:sz w:val="22"/>
          <w:szCs w:val="22"/>
        </w:rPr>
      </w:pPr>
    </w:p>
    <w:p w14:paraId="791CC452" w14:textId="77777777" w:rsidR="00EB58E5" w:rsidRDefault="00EB58E5"/>
    <w:sectPr w:rsidR="00EB58E5" w:rsidSect="00C43AAE">
      <w:headerReference w:type="default" r:id="rId12"/>
      <w:pgSz w:w="15840" w:h="12240" w:orient="landscape"/>
      <w:pgMar w:top="1340" w:right="810" w:bottom="12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7E87" w14:textId="77777777" w:rsidR="0087768C" w:rsidRDefault="0087768C">
      <w:r>
        <w:separator/>
      </w:r>
    </w:p>
  </w:endnote>
  <w:endnote w:type="continuationSeparator" w:id="0">
    <w:p w14:paraId="1EB74EE7" w14:textId="77777777" w:rsidR="0087768C" w:rsidRDefault="0087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14B48" w14:textId="77777777" w:rsidR="0087768C" w:rsidRDefault="0087768C">
      <w:r>
        <w:separator/>
      </w:r>
    </w:p>
  </w:footnote>
  <w:footnote w:type="continuationSeparator" w:id="0">
    <w:p w14:paraId="6481E911" w14:textId="77777777" w:rsidR="0087768C" w:rsidRDefault="0087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8239" w14:textId="77777777" w:rsidR="00C43AAE" w:rsidRDefault="00C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E753" w14:textId="77777777" w:rsidR="00C43AAE" w:rsidRDefault="00C43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03290"/>
    <w:multiLevelType w:val="hybridMultilevel"/>
    <w:tmpl w:val="06648A5C"/>
    <w:lvl w:ilvl="0" w:tplc="805247E2">
      <w:start w:val="1"/>
      <w:numFmt w:val="lowerLetter"/>
      <w:lvlText w:val="%1)"/>
      <w:lvlJc w:val="left"/>
      <w:pPr>
        <w:ind w:left="1587" w:hanging="715"/>
      </w:pPr>
      <w:rPr>
        <w:rFonts w:hint="default"/>
        <w:spacing w:val="-1"/>
        <w:w w:val="110"/>
      </w:rPr>
    </w:lvl>
    <w:lvl w:ilvl="1" w:tplc="20E08174">
      <w:numFmt w:val="bullet"/>
      <w:lvlText w:val="•"/>
      <w:lvlJc w:val="left"/>
      <w:pPr>
        <w:ind w:left="2390" w:hanging="715"/>
      </w:pPr>
      <w:rPr>
        <w:rFonts w:hint="default"/>
      </w:rPr>
    </w:lvl>
    <w:lvl w:ilvl="2" w:tplc="D0480D56">
      <w:numFmt w:val="bullet"/>
      <w:lvlText w:val="•"/>
      <w:lvlJc w:val="left"/>
      <w:pPr>
        <w:ind w:left="3200" w:hanging="715"/>
      </w:pPr>
      <w:rPr>
        <w:rFonts w:hint="default"/>
      </w:rPr>
    </w:lvl>
    <w:lvl w:ilvl="3" w:tplc="F1143466">
      <w:numFmt w:val="bullet"/>
      <w:lvlText w:val="•"/>
      <w:lvlJc w:val="left"/>
      <w:pPr>
        <w:ind w:left="4010" w:hanging="715"/>
      </w:pPr>
      <w:rPr>
        <w:rFonts w:hint="default"/>
      </w:rPr>
    </w:lvl>
    <w:lvl w:ilvl="4" w:tplc="7E8C39A6">
      <w:numFmt w:val="bullet"/>
      <w:lvlText w:val="•"/>
      <w:lvlJc w:val="left"/>
      <w:pPr>
        <w:ind w:left="4820" w:hanging="715"/>
      </w:pPr>
      <w:rPr>
        <w:rFonts w:hint="default"/>
      </w:rPr>
    </w:lvl>
    <w:lvl w:ilvl="5" w:tplc="06B6E82E">
      <w:numFmt w:val="bullet"/>
      <w:lvlText w:val="•"/>
      <w:lvlJc w:val="left"/>
      <w:pPr>
        <w:ind w:left="5630" w:hanging="715"/>
      </w:pPr>
      <w:rPr>
        <w:rFonts w:hint="default"/>
      </w:rPr>
    </w:lvl>
    <w:lvl w:ilvl="6" w:tplc="AACE49F8">
      <w:numFmt w:val="bullet"/>
      <w:lvlText w:val="•"/>
      <w:lvlJc w:val="left"/>
      <w:pPr>
        <w:ind w:left="6440" w:hanging="715"/>
      </w:pPr>
      <w:rPr>
        <w:rFonts w:hint="default"/>
      </w:rPr>
    </w:lvl>
    <w:lvl w:ilvl="7" w:tplc="09EA9DE4">
      <w:numFmt w:val="bullet"/>
      <w:lvlText w:val="•"/>
      <w:lvlJc w:val="left"/>
      <w:pPr>
        <w:ind w:left="7250" w:hanging="715"/>
      </w:pPr>
      <w:rPr>
        <w:rFonts w:hint="default"/>
      </w:rPr>
    </w:lvl>
    <w:lvl w:ilvl="8" w:tplc="9C8C1ED8">
      <w:numFmt w:val="bullet"/>
      <w:lvlText w:val="•"/>
      <w:lvlJc w:val="left"/>
      <w:pPr>
        <w:ind w:left="8060" w:hanging="715"/>
      </w:pPr>
      <w:rPr>
        <w:rFonts w:hint="default"/>
      </w:rPr>
    </w:lvl>
  </w:abstractNum>
  <w:num w:numId="1" w16cid:durableId="54028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8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AE"/>
    <w:rsid w:val="002564D9"/>
    <w:rsid w:val="0046241F"/>
    <w:rsid w:val="005D4C70"/>
    <w:rsid w:val="00694EA7"/>
    <w:rsid w:val="00696AAA"/>
    <w:rsid w:val="007367BC"/>
    <w:rsid w:val="0087768C"/>
    <w:rsid w:val="008D3DBA"/>
    <w:rsid w:val="00C43AAE"/>
    <w:rsid w:val="00E9137C"/>
    <w:rsid w:val="00EB58E5"/>
    <w:rsid w:val="00F9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1528"/>
  <w15:chartTrackingRefBased/>
  <w15:docId w15:val="{21151237-E410-4F1F-AAE3-EC3D01F0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A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43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A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A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A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A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AAE"/>
    <w:rPr>
      <w:rFonts w:eastAsiaTheme="majorEastAsia" w:cstheme="majorBidi"/>
      <w:color w:val="272727" w:themeColor="text1" w:themeTint="D8"/>
    </w:rPr>
  </w:style>
  <w:style w:type="paragraph" w:styleId="Title">
    <w:name w:val="Title"/>
    <w:basedOn w:val="Normal"/>
    <w:next w:val="Normal"/>
    <w:link w:val="TitleChar"/>
    <w:uiPriority w:val="10"/>
    <w:qFormat/>
    <w:rsid w:val="00C43A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AAE"/>
    <w:pPr>
      <w:spacing w:before="160"/>
      <w:jc w:val="center"/>
    </w:pPr>
    <w:rPr>
      <w:i/>
      <w:iCs/>
      <w:color w:val="404040" w:themeColor="text1" w:themeTint="BF"/>
    </w:rPr>
  </w:style>
  <w:style w:type="character" w:customStyle="1" w:styleId="QuoteChar">
    <w:name w:val="Quote Char"/>
    <w:basedOn w:val="DefaultParagraphFont"/>
    <w:link w:val="Quote"/>
    <w:uiPriority w:val="29"/>
    <w:rsid w:val="00C43AAE"/>
    <w:rPr>
      <w:i/>
      <w:iCs/>
      <w:color w:val="404040" w:themeColor="text1" w:themeTint="BF"/>
    </w:rPr>
  </w:style>
  <w:style w:type="paragraph" w:styleId="ListParagraph">
    <w:name w:val="List Paragraph"/>
    <w:basedOn w:val="Normal"/>
    <w:uiPriority w:val="1"/>
    <w:qFormat/>
    <w:rsid w:val="00C43AAE"/>
    <w:pPr>
      <w:ind w:left="720"/>
      <w:contextualSpacing/>
    </w:pPr>
  </w:style>
  <w:style w:type="character" w:styleId="IntenseEmphasis">
    <w:name w:val="Intense Emphasis"/>
    <w:basedOn w:val="DefaultParagraphFont"/>
    <w:uiPriority w:val="21"/>
    <w:qFormat/>
    <w:rsid w:val="00C43AAE"/>
    <w:rPr>
      <w:i/>
      <w:iCs/>
      <w:color w:val="0F4761" w:themeColor="accent1" w:themeShade="BF"/>
    </w:rPr>
  </w:style>
  <w:style w:type="paragraph" w:styleId="IntenseQuote">
    <w:name w:val="Intense Quote"/>
    <w:basedOn w:val="Normal"/>
    <w:next w:val="Normal"/>
    <w:link w:val="IntenseQuoteChar"/>
    <w:uiPriority w:val="30"/>
    <w:qFormat/>
    <w:rsid w:val="00C43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AAE"/>
    <w:rPr>
      <w:i/>
      <w:iCs/>
      <w:color w:val="0F4761" w:themeColor="accent1" w:themeShade="BF"/>
    </w:rPr>
  </w:style>
  <w:style w:type="character" w:styleId="IntenseReference">
    <w:name w:val="Intense Reference"/>
    <w:basedOn w:val="DefaultParagraphFont"/>
    <w:uiPriority w:val="32"/>
    <w:qFormat/>
    <w:rsid w:val="00C43AAE"/>
    <w:rPr>
      <w:b/>
      <w:bCs/>
      <w:smallCaps/>
      <w:color w:val="0F4761" w:themeColor="accent1" w:themeShade="BF"/>
      <w:spacing w:val="5"/>
    </w:rPr>
  </w:style>
  <w:style w:type="paragraph" w:styleId="BodyText">
    <w:name w:val="Body Text"/>
    <w:basedOn w:val="Normal"/>
    <w:link w:val="BodyTextChar"/>
    <w:uiPriority w:val="1"/>
    <w:qFormat/>
    <w:rsid w:val="00C43AAE"/>
    <w:rPr>
      <w:sz w:val="27"/>
      <w:szCs w:val="27"/>
    </w:rPr>
  </w:style>
  <w:style w:type="character" w:customStyle="1" w:styleId="BodyTextChar">
    <w:name w:val="Body Text Char"/>
    <w:basedOn w:val="DefaultParagraphFont"/>
    <w:link w:val="BodyText"/>
    <w:uiPriority w:val="1"/>
    <w:rsid w:val="00C43AAE"/>
    <w:rPr>
      <w:rFonts w:ascii="Times New Roman" w:eastAsia="Times New Roman" w:hAnsi="Times New Roman" w:cs="Times New Roman"/>
      <w:kern w:val="0"/>
      <w:sz w:val="27"/>
      <w:szCs w:val="27"/>
      <w14:ligatures w14:val="none"/>
    </w:rPr>
  </w:style>
  <w:style w:type="table" w:styleId="TableGrid">
    <w:name w:val="Table Grid"/>
    <w:basedOn w:val="TableNormal"/>
    <w:uiPriority w:val="39"/>
    <w:rsid w:val="00C43AAE"/>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AAE"/>
    <w:pPr>
      <w:tabs>
        <w:tab w:val="center" w:pos="4680"/>
        <w:tab w:val="right" w:pos="9360"/>
      </w:tabs>
    </w:pPr>
  </w:style>
  <w:style w:type="character" w:customStyle="1" w:styleId="HeaderChar">
    <w:name w:val="Header Char"/>
    <w:basedOn w:val="DefaultParagraphFont"/>
    <w:link w:val="Header"/>
    <w:uiPriority w:val="99"/>
    <w:rsid w:val="00C43AA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43A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42/4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cornell.edu/uscode/text/4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aw.cornell.edu/cfr/text/49/part-24" TargetMode="External"/><Relationship Id="rId4" Type="http://schemas.openxmlformats.org/officeDocument/2006/relationships/webSettings" Target="webSettings.xml"/><Relationship Id="rId9" Type="http://schemas.openxmlformats.org/officeDocument/2006/relationships/hyperlink" Target="https://www.law.cornell.edu/uscode/text/42/46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Fox</dc:creator>
  <cp:keywords/>
  <dc:description/>
  <cp:lastModifiedBy>Sherri McBride</cp:lastModifiedBy>
  <cp:revision>6</cp:revision>
  <dcterms:created xsi:type="dcterms:W3CDTF">2024-04-15T19:56:00Z</dcterms:created>
  <dcterms:modified xsi:type="dcterms:W3CDTF">2024-04-30T18:46:00Z</dcterms:modified>
</cp:coreProperties>
</file>